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Arial" w:hAnsi="Arial" w:eastAsia="Arial"/>
          <w:b w:val="0"/>
          <w:sz w:val="48"/>
        </w:rPr>
        <w:t>Final Project Report</w:t>
      </w:r>
    </w:p>
    <w:p>
      <w:pPr>
        <w:spacing w:before="0" w:after="40" w:line="240" w:lineRule="auto"/>
      </w:pPr>
      <w:r>
        <w:rPr>
          <w:rFonts w:ascii="Arial" w:hAnsi="Arial" w:eastAsia="Arial"/>
          <w:b/>
          <w:sz w:val="21"/>
        </w:rPr>
        <w:t xml:space="preserve">Team: </w:t>
      </w:r>
      <w:r>
        <w:rPr>
          <w:rFonts w:ascii="Arial" w:hAnsi="Arial" w:eastAsia="Arial"/>
          <w:b w:val="0"/>
          <w:sz w:val="21"/>
        </w:rPr>
        <w:t>Suraj Ranganath and Arunima Anand</w:t>
      </w:r>
    </w:p>
    <w:p>
      <w:pPr>
        <w:spacing w:before="0" w:after="40" w:line="240" w:lineRule="auto"/>
      </w:pPr>
      <w:r>
        <w:rPr>
          <w:rFonts w:ascii="Arial" w:hAnsi="Arial" w:eastAsia="Arial"/>
          <w:b/>
          <w:sz w:val="21"/>
        </w:rPr>
        <w:t xml:space="preserve">Competition: </w:t>
      </w:r>
      <w:r>
        <w:rPr>
          <w:rFonts w:ascii="Arial" w:hAnsi="Arial" w:eastAsia="Arial"/>
          <w:b w:val="0"/>
          <w:sz w:val="21"/>
        </w:rPr>
        <w:t>ROGII - Wellbore Geology Prediction: https://www.kaggle.com/competitions/rogii-wellbore-geology-prediction/overview</w:t>
      </w:r>
    </w:p>
    <w:p>
      <w:pPr>
        <w:spacing w:before="0" w:after="40" w:line="240" w:lineRule="auto"/>
      </w:pPr>
      <w:r>
        <w:rPr>
          <w:rFonts w:ascii="Arial" w:hAnsi="Arial" w:eastAsia="Arial"/>
          <w:b/>
          <w:sz w:val="21"/>
        </w:rPr>
        <w:t xml:space="preserve">Code: </w:t>
      </w:r>
      <w:r>
        <w:rPr>
          <w:rFonts w:ascii="Arial" w:hAnsi="Arial" w:eastAsia="Arial"/>
          <w:b w:val="0"/>
          <w:sz w:val="21"/>
        </w:rPr>
        <w:t>GitHub repository: https://github.com/suraj-ranganath/rogii-wellbore-geology-lab</w:t>
      </w:r>
    </w:p>
    <w:p>
      <w:pPr>
        <w:spacing w:before="0" w:after="40" w:line="240" w:lineRule="auto"/>
      </w:pPr>
      <w:r>
        <w:rPr>
          <w:rFonts w:ascii="Arial" w:hAnsi="Arial" w:eastAsia="Arial"/>
          <w:b/>
          <w:sz w:val="21"/>
        </w:rPr>
        <w:t xml:space="preserve">Public Leaderboard Rank: </w:t>
      </w:r>
      <w:r>
        <w:rPr>
          <w:rFonts w:ascii="Arial" w:hAnsi="Arial" w:eastAsia="Arial"/>
          <w:b w:val="0"/>
          <w:sz w:val="21"/>
        </w:rPr>
        <w:t>142 out of 2,873 (Silver, as of June 12, 5:55PM)</w:t>
      </w:r>
    </w:p>
    <w:p>
      <w:pPr>
        <w:spacing w:before="160" w:after="0" w:line="240" w:lineRule="auto"/>
      </w:pPr>
      <w:r>
        <w:drawing>
          <wp:inline xmlns:a="http://schemas.openxmlformats.org/drawingml/2006/main" xmlns:pic="http://schemas.openxmlformats.org/drawingml/2006/picture">
            <wp:extent cx="6263640" cy="4612480"/>
            <wp:docPr id="1" name="Picture 1"/>
            <wp:cNvGraphicFramePr>
              <a:graphicFrameLocks noChangeAspect="1"/>
            </wp:cNvGraphicFramePr>
            <a:graphic>
              <a:graphicData uri="http://schemas.openxmlformats.org/drawingml/2006/picture">
                <pic:pic>
                  <pic:nvPicPr>
                    <pic:cNvPr id="0" name="public_leaderboard_rank_142_2026-06-12_1755.png"/>
                    <pic:cNvPicPr/>
                  </pic:nvPicPr>
                  <pic:blipFill>
                    <a:blip r:embed="rId9"/>
                    <a:stretch>
                      <a:fillRect/>
                    </a:stretch>
                  </pic:blipFill>
                  <pic:spPr>
                    <a:xfrm>
                      <a:off x="0" y="0"/>
                      <a:ext cx="6263640" cy="4612480"/>
                    </a:xfrm>
                    <a:prstGeom prst="rect"/>
                  </pic:spPr>
                </pic:pic>
              </a:graphicData>
            </a:graphic>
          </wp:inline>
        </w:drawing>
      </w:r>
    </w:p>
    <w:p>
      <w:r>
        <w:br w:type="page"/>
      </w:r>
    </w:p>
    <w:p>
      <w:pPr>
        <w:spacing w:before="60" w:after="60" w:line="245" w:lineRule="auto"/>
      </w:pPr>
      <w:r>
        <w:rPr>
          <w:rFonts w:ascii="Arial" w:hAnsi="Arial" w:eastAsia="Arial"/>
          <w:b w:val="0"/>
          <w:sz w:val="19"/>
        </w:rPr>
        <w:t>We worked on the ROGII Wellbore Geology Prediction competition, where the goal is to predict TVT values for unseen parts of wellbores. We started with simple baselines to understand the scale of the problem and to make sure the Kaggle notebook submission pipeline was correct. The last-known TVT baseline scored 15.883, which gave us a useful lower bar. From there, we tried several families of approaches: physical/PF selector models, Sunny/v10 artifact blends, target-free alignment, Ridge/PF hidden-safe blends, dynamic Z gates, structural Ridge-SP projection models, and pretrained geosteering-style models. A lot of the early work was not about chasing one public score; it was about learning which ideas were hidden-compatible, which ones failed because the hidden test set changed, and which local validation signals were actually trustworthy. For example, we learned that visible-overlap scoring was useful for checking row order and output sanity, but it was not reliable for choosing close model variants.</w:t>
      </w:r>
    </w:p>
    <w:p>
      <w:pPr>
        <w:spacing w:before="60" w:after="60" w:line="245" w:lineRule="auto"/>
      </w:pPr>
      <w:r>
        <w:rPr>
          <w:rFonts w:ascii="Arial" w:hAnsi="Arial" w:eastAsia="Arial"/>
          <w:b w:val="0"/>
          <w:sz w:val="19"/>
        </w:rPr>
        <w:t>Following the professor's recommendation, we also looked carefully at public Kaggle discussions and open code, then reproduced the most promising ideas in our own controlled kernels instead of submitting them blindly. We made the technical decision to focus on hidden-safe, domain-aware methods rather than static public-test tricks, and that turned out to be important. Static public-ID and test-leakage-style approaches failed or were not robust, while methods based on geosteering structure, stratigraphic projection, and blending independent signals improved consistently. We experimented locally with small runs, smoke tests, output validation, and local CV-style proxies before using Kaggle's limited daily submissions. We also used the GPU credits we had for heavier experiments and used GPT 5.5 XHigh on Codex, including Codex's /goal mode, to run short Auto Research-style loops inspired by the professor's lecture: propose a small hypothesis, test or tune a few hyperparameters, inspect the result, and then decide whether the direction deserved a Kaggle submission. Across the project we made 50 Kaggle competition submissions by the time of this report, including successful runs, failed experiments, timeout cases, and today's five pending submissions.</w:t>
      </w:r>
    </w:p>
    <w:p>
      <w:pPr>
        <w:spacing w:before="60" w:after="60" w:line="245" w:lineRule="auto"/>
      </w:pPr>
      <w:r>
        <w:rPr>
          <w:rFonts w:ascii="Arial" w:hAnsi="Arial" w:eastAsia="Arial"/>
          <w:b w:val="0"/>
          <w:sz w:val="19"/>
        </w:rPr>
        <w:t>We got our best completed leaderboard result so far, a public RMSE of 7.541, from a runtime-safe SP45 projection plus fleongg pretrained geosteering blend with a guarded overlap override. In simple terms, the SP45 part tries to continue the wellbore through a smooth stratigraphic path by using geology and log-pattern structure, while the pretrained geosteering part gives a separate learned estimate of how TVT should move in the hidden section. We blended the two because each captured a different signal: one was more structural and physics-like, and the other was more pattern-driven. We used the guarded overlap override only when the notebook could safely recognize an exact overlap with known training behavior, so it helped the public split without turning the solution into a brittle static submission. We got there gradually: the PF/physical family got us to about 8.78, Sunny/v10 improved to 8.421, hidden-safe Ridge reached 7.906, drift geosteering reached 7.858, and then the SP45/fleongg blend family became the strongest direction, improving to 7.551 and finally 7.541. At the 5 PM reset today, we submitted five additional variants around this same strongest direction, but those submissions were still pending at the time of writing and may not finish before the project report deadline.</w:t>
      </w:r>
    </w:p>
    <w:sectPr w:rsidR="00FC693F" w:rsidRPr="0006063C" w:rsidSect="00034616">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5"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