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64A56"/>
          <w:sz w:val="40"/>
          <w:szCs w:val="40"/>
        </w:rPr>
        <w:t xml:space="preserve">Freight Rate Prediction — Assessment Report</w:t>
      </w:r>
    </w:p>
    <w:p>
      <w:pPr>
        <w:spacing w:after="400"/>
      </w:pPr>
      <w:r>
        <w:rPr>
          <w:i/>
          <w:iCs/>
          <w:color w:val="455A60"/>
          <w:sz w:val="22"/>
          <w:szCs w:val="22"/>
        </w:rPr>
        <w:t xml:space="preserve">Machine Learning Engineer take-home · Spotter</w:t>
      </w:r>
    </w:p>
    <w:p>
      <w:pPr>
        <w:pStyle w:val="Heading1"/>
        <w:spacing w:after="160" w:before="320"/>
      </w:pPr>
      <w:r>
        <w:t xml:space="preserve">1. Data Exploration &amp; Quality Issues</w:t>
      </w:r>
    </w:p>
    <w:p>
      <w:pPr>
        <w:spacing w:after="140"/>
      </w:pPr>
      <w:r>
        <w:t xml:space="preserve">The development set (data/train_test.csv) contains 48,000 labeled loads from 2025-01-01 through 2025-10-31, with 14 columns: load_id, pickup/delivery city + lat/lon, distance, equipment, weight, date, market_index, quote_signal, and the target posted_rate.</w:t>
      </w:r>
    </w:p>
    <w:p>
      <w:pPr>
        <w:pStyle w:val="Heading2"/>
        <w:spacing w:after="120" w:before="26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posted_rate is strongly driven by distance (Pearson r ≈ 0.91). Weight, market_index and quote_signal individually have weak linear correlation with the raw rate, but do carry information once distance is accounted for (rate-per-mile), and were kept as model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Equipment type carries a modest rate premium: Reefer &gt; Flatbed &gt; Dry Van on average.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a mild seasonal / weekly pattern in rate-per-mile (slightly higher mid-year and mid-week), used via month, day-of-week and cyclical day-of-year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posted_rate is right-skewed with a small tail of very high rate-per-mile loads (~0.7% of rows &gt; 5x the median rate-per-mile). These look like genuine spot-market surge pricing rather than data errors — the associated distances and cities are all valid — so they were kept in training rather than removed, but they do inflate RMSE relative to MAE.</w:t>
      </w:r>
    </w:p>
    <w:p>
      <w:pPr>
        <w:pStyle w:val="Heading2"/>
        <w:spacing w:after="120" w:before="260"/>
      </w:pPr>
      <w:r>
        <w:t xml:space="preserve">Data-quality issues identified and how they were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weight: ~0.6% of rows (292/48,000) had sign-flipped negative values (e.g. -31,724 lb) whose magnitudes match the normal weight distribution exactly. Fixed with abs(). A further ~0.6% were missing and were imputed using the median weight for that equipment 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market_index: ~0.8% missing (374/48,000), imputed using the median market_index for that calendar month.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small number of rows (22/48,000, all for the Shreveport ↔ New Orleans lane) have a distance value inconsistent with the haversine distance implied by their lat/lon. This looks like a geocoding issue for those two cities rather than a distance error. It affects &lt;0.05% of rows and was left as-is (flagged here rather than 'corrected' without ground truth).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duplicate load_id or fully duplicated rows were found.</w:t>
      </w:r>
    </w:p>
    <w:p>
      <w:pPr>
        <w:pStyle w:val="Heading1"/>
        <w:spacing w:after="160" w:before="320"/>
      </w:pPr>
      <w:r>
        <w:t xml:space="preserve">2. Train / Test Split &amp; Validation Approach</w:t>
      </w:r>
    </w:p>
    <w:p>
      <w:pPr>
        <w:spacing w:after="140"/>
      </w:pPr>
      <w:r>
        <w:t xml:space="preserve">The task is fundamentally a forecasting problem: validation.csv and the December chart both ask for predictions on dates later than most of the labeled data. A random split would let the model be evaluated on dates interleaved with its training data, overstating real-world accuracy.</w:t>
      </w:r>
    </w:p>
    <w:p>
      <w:pPr>
        <w:spacing w:after="140"/>
      </w:pPr>
      <w:r>
        <w:t xml:space="preserve">Split used: sort all rows by date, train on the earliest 80% (2025-01-01 → 2025-08-31, 38,400 rows), hold out the most recent 20% (2025-09-01 → 2025-10-31, 9,600 rows) purely for evaluation. All reported metrics below are on this time-based holdout, never seen during training.</w:t>
      </w:r>
    </w:p>
    <w:p>
      <w:pPr>
        <w:pStyle w:val="Heading1"/>
        <w:spacing w:after="160" w:before="320"/>
      </w:pPr>
      <w:r>
        <w:t xml:space="preserve">3. Modeling</w:t>
      </w:r>
    </w:p>
    <w:p>
      <w:pPr>
        <w:spacing w:after="140"/>
      </w:pPr>
      <w:r>
        <w:t xml:space="preserve">Three model families were compared on the same time-based holdout: linear regression (baseline), random forest, and gradient-boosted trees (XGBoost). A second XGBoost model was trained on a reduced feature set (same features, minus market_index/quote_signal) because those two columns are not available in december_chart_inputs.csv — they represent live market-quote conditions that can't be known in advance for a future, hypothetical date. Using one shared cleaning/feature pipeline (src/data_utils.py) keeps both models consistent.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1800"/>
        <w:gridCol w:w="1400"/>
      </w:tblGrid>
      <w:tr>
        <w:tc>
          <w:tcPr>
            <w:tcW w:type="dxa" w:w="3400"/>
            <w:shd w:fill="064A56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800"/>
            <w:shd w:fill="064A56" w:val="clear"/>
          </w:tcPr>
          <w:p>
            <w:r>
              <w:rPr>
                <w:b/>
                <w:bCs/>
                <w:color w:val="FFFFFF"/>
              </w:rPr>
              <w:t xml:space="preserve">MAE ($)</w:t>
            </w:r>
          </w:p>
        </w:tc>
        <w:tc>
          <w:tcPr>
            <w:tcW w:type="dxa" w:w="1800"/>
            <w:shd w:fill="064A56" w:val="clear"/>
          </w:tcPr>
          <w:p>
            <w:r>
              <w:rPr>
                <w:b/>
                <w:bCs/>
                <w:color w:val="FFFFFF"/>
              </w:rPr>
              <w:t xml:space="preserve">RMSE ($)</w:t>
            </w:r>
          </w:p>
        </w:tc>
        <w:tc>
          <w:tcPr>
            <w:tcW w:type="dxa" w:w="1800"/>
            <w:shd w:fill="064A56" w:val="clear"/>
          </w:tcPr>
          <w:p>
            <w:r>
              <w:rPr>
                <w:b/>
                <w:bCs/>
                <w:color w:val="FFFFFF"/>
              </w:rPr>
              <w:t xml:space="preserve">MAPE (%)</w:t>
            </w:r>
          </w:p>
        </w:tc>
        <w:tc>
          <w:tcPr>
            <w:tcW w:type="dxa" w:w="1400"/>
            <w:shd w:fill="064A56" w:val="clear"/>
          </w:tcPr>
          <w:p>
            <w:r>
              <w:rPr>
                <w:b/>
                <w:bCs/>
                <w:color w:val="FFFFFF"/>
              </w:rPr>
              <w:t xml:space="preserve">R²</w:t>
            </w:r>
          </w:p>
        </w:tc>
      </w:tr>
      <w:tr>
        <w:tc>
          <w:tcPr>
            <w:tcW w:type="dxa" w:w="3400"/>
          </w:tcPr>
          <w:p>
            <w:r>
              <w:t xml:space="preserve">linear_full</w:t>
            </w:r>
          </w:p>
        </w:tc>
        <w:tc>
          <w:tcPr>
            <w:tcW w:type="dxa" w:w="1800"/>
          </w:tcPr>
          <w:p>
            <w:r>
              <w:t xml:space="preserve">195.02</w:t>
            </w:r>
          </w:p>
        </w:tc>
        <w:tc>
          <w:tcPr>
            <w:tcW w:type="dxa" w:w="1800"/>
          </w:tcPr>
          <w:p>
            <w:r>
              <w:t xml:space="preserve">654.12</w:t>
            </w:r>
          </w:p>
        </w:tc>
        <w:tc>
          <w:tcPr>
            <w:tcW w:type="dxa" w:w="1800"/>
          </w:tcPr>
          <w:p>
            <w:r>
              <w:t xml:space="preserve">10.69</w:t>
            </w:r>
          </w:p>
        </w:tc>
        <w:tc>
          <w:tcPr>
            <w:tcW w:type="dxa" w:w="1400"/>
          </w:tcPr>
          <w:p>
            <w:r>
              <w:t xml:space="preserve">0.816</w:t>
            </w:r>
          </w:p>
        </w:tc>
      </w:tr>
      <w:tr>
        <w:tc>
          <w:tcPr>
            <w:tcW w:type="dxa" w:w="3400"/>
          </w:tcPr>
          <w:p>
            <w:r>
              <w:t xml:space="preserve">random_forest_full</w:t>
            </w:r>
          </w:p>
        </w:tc>
        <w:tc>
          <w:tcPr>
            <w:tcW w:type="dxa" w:w="1800"/>
          </w:tcPr>
          <w:p>
            <w:r>
              <w:t xml:space="preserve">162.79</w:t>
            </w:r>
          </w:p>
        </w:tc>
        <w:tc>
          <w:tcPr>
            <w:tcW w:type="dxa" w:w="1800"/>
          </w:tcPr>
          <w:p>
            <w:r>
              <w:t xml:space="preserve">648.46</w:t>
            </w:r>
          </w:p>
        </w:tc>
        <w:tc>
          <w:tcPr>
            <w:tcW w:type="dxa" w:w="1800"/>
          </w:tcPr>
          <w:p>
            <w:r>
              <w:t xml:space="preserve">7.15</w:t>
            </w:r>
          </w:p>
        </w:tc>
        <w:tc>
          <w:tcPr>
            <w:tcW w:type="dxa" w:w="1400"/>
          </w:tcPr>
          <w:p>
            <w:r>
              <w:t xml:space="preserve">0.8192</w:t>
            </w:r>
          </w:p>
        </w:tc>
      </w:tr>
      <w:tr>
        <w:tc>
          <w:tcPr>
            <w:tcW w:type="dxa" w:w="3400"/>
          </w:tcPr>
          <w:p>
            <w:r>
              <w:t xml:space="preserve">xgboost_full</w:t>
            </w:r>
          </w:p>
        </w:tc>
        <w:tc>
          <w:tcPr>
            <w:tcW w:type="dxa" w:w="1800"/>
          </w:tcPr>
          <w:p>
            <w:r>
              <w:t xml:space="preserve">124.71</w:t>
            </w:r>
          </w:p>
        </w:tc>
        <w:tc>
          <w:tcPr>
            <w:tcW w:type="dxa" w:w="1800"/>
          </w:tcPr>
          <w:p>
            <w:r>
              <w:t xml:space="preserve">636.48</w:t>
            </w:r>
          </w:p>
        </w:tc>
        <w:tc>
          <w:tcPr>
            <w:tcW w:type="dxa" w:w="1800"/>
          </w:tcPr>
          <w:p>
            <w:r>
              <w:t xml:space="preserve">5.54</w:t>
            </w:r>
          </w:p>
        </w:tc>
        <w:tc>
          <w:tcPr>
            <w:tcW w:type="dxa" w:w="1400"/>
          </w:tcPr>
          <w:p>
            <w:r>
              <w:t xml:space="preserve">0.8258</w:t>
            </w:r>
          </w:p>
        </w:tc>
      </w:tr>
      <w:tr>
        <w:tc>
          <w:tcPr>
            <w:tcW w:type="dxa" w:w="3400"/>
          </w:tcPr>
          <w:p>
            <w:r>
              <w:t xml:space="preserve">xgboost_reduced_no_market_signals</w:t>
            </w:r>
          </w:p>
        </w:tc>
        <w:tc>
          <w:tcPr>
            <w:tcW w:type="dxa" w:w="1800"/>
          </w:tcPr>
          <w:p>
            <w:r>
              <w:t xml:space="preserve">128.63</w:t>
            </w:r>
          </w:p>
        </w:tc>
        <w:tc>
          <w:tcPr>
            <w:tcW w:type="dxa" w:w="1800"/>
          </w:tcPr>
          <w:p>
            <w:r>
              <w:t xml:space="preserve">638.52</w:t>
            </w:r>
          </w:p>
        </w:tc>
        <w:tc>
          <w:tcPr>
            <w:tcW w:type="dxa" w:w="1800"/>
          </w:tcPr>
          <w:p>
            <w:r>
              <w:t xml:space="preserve">5.65</w:t>
            </w:r>
          </w:p>
        </w:tc>
        <w:tc>
          <w:tcPr>
            <w:tcW w:type="dxa" w:w="1400"/>
          </w:tcPr>
          <w:p>
            <w:r>
              <w:t xml:space="preserve">0.8247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XGBoost was selected: lowest MAE and MAPE of the three families, and by a wide margin on typical-case error (MAPE 5.5% vs 10.7% for linear regression). The reduced (no-market-signal) model performs nearly as well (MAE $128.6 vs $124.7), confirming market_index/quote_signal add only a small amount of incremental signal once distance, geography, equipment and date are captured — consistent with their weak standalone correlations in the exploration step.</w:t>
      </w:r>
    </w:p>
    <w:p>
      <w:pPr>
        <w:spacing w:after="140"/>
      </w:pPr>
      <w:r>
        <w:t xml:space="preserve">Top features by importance (full model): distance, pickup/delivery longitude, delivery latitude, then equipment type. The reduced model relies on the same top features minus the two market columns.</w:t>
      </w:r>
    </w:p>
    <w:p>
      <w:pPr>
        <w:pStyle w:val="Heading1"/>
        <w:spacing w:after="160" w:before="320"/>
      </w:pPr>
      <w:r>
        <w:t xml:space="preserve">4. December 2025 Forecast</w:t>
      </w:r>
    </w:p>
    <w:p>
      <w:pPr>
        <w:spacing w:after="140"/>
      </w:pPr>
      <w:r>
        <w:t xml:space="preserve">december_chart_inputs.csv fixes pickup=Lexington, delivery=Fort Wayne, distance=360 mi, equipment=Dry Van, weight=32,000 lb for all 31 days of December 2025 — only the date changes. Lexington/Fort Wayne lat/lon (not present in that file) were looked up from their known values in train_test.csv so the reduced model sees the same feature schema it was trained on. Predictions come from the reduced (no-market-signal) model described above, run once per date.</w:t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The forecast (~$820–$837, i.e. ~$2.29–$2.32/mile) shows a repeating weekly pattern — modest midweek premium, modest weekend dip — which is the dominant date-driven signal the model found in the training data. Because train_test.csv only spans January–October 2025, December is outside the observed date range; the cyclical (sin/cos) day-of-year encoding lets the model generalize via periodicity (December sits close to January on the yearly cycle) rather than extrapolating linearly, but the resulting range is narrower than a full seasonal swing might realistically be — a limitation worth flagging rather than presenting as high-confidence.</w:t>
      </w:r>
    </w:p>
    <w:p>
      <w:pPr>
        <w:pStyle w:val="Heading1"/>
        <w:spacing w:after="160" w:before="320"/>
      </w:pPr>
      <w:r>
        <w:t xml:space="preserve">5. Reproducing These Results</w:t>
      </w:r>
    </w:p>
    <w:p>
      <w:pPr>
        <w:spacing w:after="140"/>
      </w:pPr>
      <w:r>
        <w:t xml:space="preserve">See README.md in the repository root for exact setup and run commands (python src/train.py, then python src/predict.py, then the provided score.py). Full metrics, feature importances and EDA notes are saved under reports/.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31c11a7a2ccfc2bc5dd0853868ace1dda3992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2026-08-04T20:25:23.937Z</dcterms:created>
  <dcterms:modified xsi:type="dcterms:W3CDTF">2026-08-04T20:25:23.947Z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