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Homepage</w:t>
      </w:r>
      <w:r>
        <w:rPr>
          <w:color w:val="888888"/>
        </w:rPr>
        <w:t xml:space="preserve">  ›  </w:t>
      </w:r>
      <w:r>
        <w:rPr>
          <w:color w:val="888888"/>
        </w:rPr>
        <w:t xml:space="preserve">Insurance</w:t>
      </w:r>
    </w:p>
    <w:p>
      <w:pPr>
        <w:pStyle w:val="Heading1"/>
        <w:spacing w:after="200"/>
      </w:pPr>
      <w:r>
        <w:t xml:space="preserve">Insurance for Fertility Treatments</w:t>
      </w:r>
    </w:p>
    <w:p>
      <w:pPr>
        <w:spacing w:after="300"/>
      </w:pPr>
      <w:r>
        <w:t xml:space="preserve">At Bourn Hall Fertility Clinic UAE, we understand that navigating insurance coverage for fertility treatment can be complex. Our goal is to support you through every step, including understanding what services may be covered by your insurance provider.</w:t>
      </w:r>
    </w:p>
    <w:p>
      <w:pPr>
        <w:spacing w:after="200"/>
      </w:pPr>
      <w:r>
        <w:rPr>
          <w:b/>
          <w:bCs/>
          <w:sz w:val="24"/>
          <w:szCs w:val="24"/>
        </w:rPr>
        <w:t xml:space="preserve">Bourn Hall recognises these insurance providers:</w:t>
      </w:r>
    </w:p>
    <w:p>
      <w:pPr>
        <w:pStyle w:val="Heading2"/>
        <w:spacing w:after="120" w:before="240"/>
        <w:rPr>
          <w:color w:val="6E1E3C"/>
        </w:rPr>
      </w:pPr>
      <w:r>
        <w:t xml:space="preserve">Accepted Insurance Providers</w:t>
      </w:r>
    </w:p>
    <w:p>
      <w:pPr>
        <w:spacing w:after="200"/>
      </w:pPr>
      <w:r>
        <w:t xml:space="preserve">We work with a wide network of insurance companies across the UAE. Some of our accepted insurance partners include:</w:t>
      </w:r>
    </w:p>
    <w:p>
      <w:pPr>
        <w:spacing w:after="100" w:before="180"/>
      </w:pPr>
      <w:r>
        <w:rPr>
          <w:b/>
          <w:bCs/>
          <w:sz w:val="24"/>
          <w:szCs w:val="24"/>
        </w:rPr>
        <w:t xml:space="preserve">Bourn Hall Dubai:</w:t>
      </w:r>
    </w:p>
    <w:p>
      <w:pPr>
        <w:pStyle w:val="ListParagraph"/>
        <w:numPr>
          <w:ilvl w:val="0"/>
          <w:numId w:val="2"/>
        </w:numPr>
        <w:spacing w:after="60"/>
      </w:pPr>
      <w:r>
        <w:t xml:space="preserve">Neuron</w:t>
      </w:r>
    </w:p>
    <w:p>
      <w:pPr>
        <w:pStyle w:val="ListParagraph"/>
        <w:numPr>
          <w:ilvl w:val="0"/>
          <w:numId w:val="2"/>
        </w:numPr>
        <w:spacing w:after="60"/>
      </w:pPr>
      <w:r>
        <w:t xml:space="preserve">Daman GHQ only</w:t>
      </w:r>
    </w:p>
    <w:p>
      <w:pPr>
        <w:pStyle w:val="ListParagraph"/>
        <w:numPr>
          <w:ilvl w:val="0"/>
          <w:numId w:val="2"/>
        </w:numPr>
        <w:spacing w:after="60"/>
      </w:pPr>
      <w:r>
        <w:t xml:space="preserve">Next Care</w:t>
      </w:r>
    </w:p>
    <w:p>
      <w:pPr>
        <w:spacing w:after="100" w:before="180"/>
      </w:pPr>
      <w:r>
        <w:rPr>
          <w:b/>
          <w:bCs/>
          <w:sz w:val="24"/>
          <w:szCs w:val="24"/>
        </w:rPr>
        <w:t xml:space="preserve">Bourn Hall Abu Dhabi:</w:t>
      </w:r>
    </w:p>
    <w:p>
      <w:pPr>
        <w:pStyle w:val="ListParagraph"/>
        <w:numPr>
          <w:ilvl w:val="0"/>
          <w:numId w:val="2"/>
        </w:numPr>
        <w:spacing w:after="60"/>
      </w:pPr>
      <w:r>
        <w:t xml:space="preserve">Thiqa</w:t>
      </w:r>
    </w:p>
    <w:p>
      <w:pPr>
        <w:pStyle w:val="ListParagraph"/>
        <w:numPr>
          <w:ilvl w:val="0"/>
          <w:numId w:val="2"/>
        </w:numPr>
        <w:spacing w:after="60"/>
      </w:pPr>
      <w:r>
        <w:t xml:space="preserve">Next care</w:t>
      </w:r>
    </w:p>
    <w:p>
      <w:pPr>
        <w:spacing w:after="100" w:before="180"/>
      </w:pPr>
      <w:r>
        <w:rPr>
          <w:b/>
          <w:bCs/>
          <w:sz w:val="24"/>
          <w:szCs w:val="24"/>
        </w:rPr>
        <w:t xml:space="preserve">Bourn Hall Al Ain:</w:t>
      </w:r>
    </w:p>
    <w:p>
      <w:pPr>
        <w:pStyle w:val="ListParagraph"/>
        <w:numPr>
          <w:ilvl w:val="0"/>
          <w:numId w:val="2"/>
        </w:numPr>
        <w:spacing w:after="60"/>
      </w:pPr>
      <w:r>
        <w:t xml:space="preserve">Thiqa</w:t>
      </w:r>
    </w:p>
    <w:p>
      <w:pPr>
        <w:spacing w:after="150" w:before="200"/>
      </w:pPr>
      <w:r>
        <w:rPr>
          <w:b/>
          <w:bCs/>
          <w:sz w:val="24"/>
          <w:szCs w:val="24"/>
        </w:rPr>
        <w:t xml:space="preserve">Prior to treatment, please check with your insurance provider what will/will not be covered by your insurance.</w:t>
      </w:r>
    </w:p>
    <w:p>
      <w:pPr>
        <w:spacing w:after="150"/>
      </w:pPr>
      <w:r>
        <w:t xml:space="preserve">We offer direct billing with select providers for eligible services, subject to pre-approval and policy terms.</w:t>
      </w:r>
    </w:p>
    <w:p>
      <w:pPr>
        <w:spacing w:after="300"/>
      </w:pPr>
      <w:r>
        <w:t xml:space="preserve">If your insurance provider is not listed or if your plan does not include direct billing for fertility-related services, we will gladly assist you with the documentation needed for reimbursement claims.</w:t>
      </w:r>
    </w:p>
    <w:p>
      <w:pPr>
        <w:pStyle w:val="Heading2"/>
        <w:spacing w:after="120" w:before="240"/>
        <w:rPr>
          <w:color w:val="6E1E3C"/>
        </w:rPr>
      </w:pPr>
      <w:r>
        <w:t xml:space="preserve">What May Be Covered?</w:t>
      </w:r>
    </w:p>
    <w:p>
      <w:pPr>
        <w:spacing w:after="100"/>
      </w:pPr>
      <w:r>
        <w:t xml:space="preserve">Coverage for fertility-related services varies between insurance providers and plans. In general, the following services may be covered depending on your policy:</w:t>
      </w:r>
    </w:p>
    <w:p>
      <w:pPr>
        <w:pStyle w:val="ListParagraph"/>
        <w:numPr>
          <w:ilvl w:val="0"/>
          <w:numId w:val="2"/>
        </w:numPr>
        <w:spacing w:after="60"/>
      </w:pPr>
      <w:r>
        <w:t xml:space="preserve">Initial consultations with fertility specialists</w:t>
      </w:r>
    </w:p>
    <w:p>
      <w:pPr>
        <w:pStyle w:val="ListParagraph"/>
        <w:numPr>
          <w:ilvl w:val="0"/>
          <w:numId w:val="2"/>
        </w:numPr>
        <w:spacing w:after="60"/>
      </w:pPr>
      <w:r>
        <w:t xml:space="preserve">Diagnostic tests and blood work</w:t>
      </w:r>
    </w:p>
    <w:p>
      <w:pPr>
        <w:pStyle w:val="ListParagraph"/>
        <w:numPr>
          <w:ilvl w:val="0"/>
          <w:numId w:val="2"/>
        </w:numPr>
        <w:spacing w:after="60"/>
      </w:pPr>
      <w:r>
        <w:t xml:space="preserve">Ultrasound scans</w:t>
      </w:r>
    </w:p>
    <w:p>
      <w:pPr>
        <w:pStyle w:val="ListParagraph"/>
        <w:numPr>
          <w:ilvl w:val="0"/>
          <w:numId w:val="2"/>
        </w:numPr>
        <w:spacing w:after="60"/>
      </w:pPr>
      <w:r>
        <w:t xml:space="preserve">Hormonal assessments</w:t>
      </w:r>
    </w:p>
    <w:p>
      <w:pPr>
        <w:pStyle w:val="ListParagraph"/>
        <w:numPr>
          <w:ilvl w:val="0"/>
          <w:numId w:val="2"/>
        </w:numPr>
        <w:spacing w:after="60"/>
      </w:pPr>
      <w:r>
        <w:t xml:space="preserve">Certain procedures depending on diagnosis</w:t>
      </w:r>
    </w:p>
    <w:p>
      <w:pPr>
        <w:spacing w:after="300" w:before="100"/>
      </w:pPr>
      <w:r>
        <w:t xml:space="preserve">It's important to verify with your insurance provider whether fertility services are included in your specific plan and whether prior approval is required.</w:t>
      </w:r>
    </w:p>
    <w:p>
      <w:pPr>
        <w:pStyle w:val="Heading2"/>
        <w:spacing w:after="120" w:before="240"/>
        <w:rPr>
          <w:color w:val="6E1E3C"/>
        </w:rPr>
      </w:pPr>
      <w:r>
        <w:t xml:space="preserve">Pre-Approval and Authorisation Support</w:t>
      </w:r>
    </w:p>
    <w:p>
      <w:pPr>
        <w:spacing w:after="100"/>
      </w:pPr>
      <w:r>
        <w:t xml:space="preserve">Our dedicated insurance coordination team can help:</w:t>
      </w:r>
    </w:p>
    <w:p>
      <w:pPr>
        <w:pStyle w:val="ListParagraph"/>
        <w:numPr>
          <w:ilvl w:val="0"/>
          <w:numId w:val="2"/>
        </w:numPr>
        <w:spacing w:after="60"/>
      </w:pPr>
      <w:r>
        <w:t xml:space="preserve">Confirm your insurance coverage limits</w:t>
      </w:r>
    </w:p>
    <w:p>
      <w:pPr>
        <w:pStyle w:val="ListParagraph"/>
        <w:numPr>
          <w:ilvl w:val="0"/>
          <w:numId w:val="2"/>
        </w:numPr>
        <w:spacing w:after="60"/>
      </w:pPr>
      <w:r>
        <w:t xml:space="preserve">Assist with pre-authorisation requests</w:t>
      </w:r>
    </w:p>
    <w:p>
      <w:pPr>
        <w:pStyle w:val="ListParagraph"/>
        <w:numPr>
          <w:ilvl w:val="0"/>
          <w:numId w:val="2"/>
        </w:numPr>
        <w:spacing w:after="60"/>
      </w:pPr>
      <w:r>
        <w:t xml:space="preserve">Provide supporting documents for claim submissions</w:t>
      </w:r>
    </w:p>
    <w:p>
      <w:pPr>
        <w:pStyle w:val="ListParagraph"/>
        <w:numPr>
          <w:ilvl w:val="0"/>
          <w:numId w:val="2"/>
        </w:numPr>
        <w:spacing w:after="60"/>
      </w:pPr>
      <w:r>
        <w:t xml:space="preserve">Answer any questions related to billing or covered services</w:t>
      </w:r>
    </w:p>
    <w:p>
      <w:pPr>
        <w:pStyle w:val="Heading2"/>
        <w:spacing w:after="120" w:before="240"/>
        <w:rPr>
          <w:color w:val="6E1E3C"/>
        </w:rPr>
      </w:pPr>
      <w:r>
        <w:t xml:space="preserve">Contact Our Insurance Team</w:t>
      </w:r>
    </w:p>
    <w:p>
      <w:pPr>
        <w:spacing w:after="100"/>
      </w:pPr>
      <w:r>
        <w:t xml:space="preserve">If you have questions about your insurance coverage or would like help with the pre-approval process, please reach out to us:</w:t>
      </w:r>
    </w:p>
    <w:p>
      <w:pPr>
        <w:spacing w:after="300"/>
      </w:pPr>
      <w:r>
        <w:rPr>
          <w:b/>
          <w:bCs/>
        </w:rPr>
        <w:t xml:space="preserve">Phone: </w:t>
      </w:r>
      <w:r>
        <w:rPr>
          <w:b/>
          <w:bCs/>
          <w:color w:val="6E1E3C"/>
        </w:rPr>
        <w:t xml:space="preserve">800-IVF (483)</w:t>
      </w:r>
    </w:p>
    <w:p>
      <w:pPr>
        <w:pBdr>
          <w:top w:val="single" w:color="6E1E3C" w:sz="6" w:space="8"/>
        </w:pBdr>
        <w:spacing w:before="100"/>
      </w:pPr>
      <w:r>
        <w:rPr>
          <w:color w:val="6E1E3C"/>
        </w:rPr>
        <w:t xml:space="preserve">♡  </w:t>
      </w:r>
      <w:r>
        <w:rPr>
          <w:b/>
          <w:bCs/>
          <w:color w:val="6E1E3C"/>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E1E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2026-09-16T11:41:46.069Z</dcterms:created>
  <dcterms:modified xsi:type="dcterms:W3CDTF">2026-09-16T11:41:46.077Z</dcterms:modified>
</cp:coreProperties>
</file>

<file path=docProps/custom.xml><?xml version="1.0" encoding="utf-8"?>
<Properties xmlns="http://schemas.openxmlformats.org/officeDocument/2006/custom-properties" xmlns:vt="http://schemas.openxmlformats.org/officeDocument/2006/docPropsVTypes"/>
</file>