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Female fertility</w:t>
      </w:r>
    </w:p>
    <w:p>
      <w:pPr>
        <w:pStyle w:val="Heading1"/>
        <w:spacing w:after="200"/>
      </w:pPr>
      <w:r>
        <w:t xml:space="preserve">Understanding Female Fertility</w:t>
      </w:r>
    </w:p>
    <w:p>
      <w:pPr>
        <w:spacing w:after="200"/>
      </w:pPr>
      <w:r>
        <w:rPr>
          <w:b/>
          <w:bCs/>
          <w:sz w:val="26"/>
          <w:szCs w:val="26"/>
        </w:rPr>
        <w:t xml:space="preserve">The emotional, social and cultural consequences of female infertility can be profound. If you're struggling to get pregnant or have concerns about your fertility, talk to us at Bourn Hall. You'll be in expert hands.</w:t>
      </w:r>
    </w:p>
    <w:p>
      <w:pPr>
        <w:spacing w:after="150"/>
      </w:pPr>
      <w:r>
        <w:t xml:space="preserve">Bourn Hall was founded by doctors and scientists who worked for more than two decades to develop new medical techniques to help women struggling with fertility issues.</w:t>
      </w:r>
    </w:p>
    <w:p>
      <w:pPr>
        <w:spacing w:after="200"/>
      </w:pPr>
      <w:r>
        <w:t xml:space="preserve">Female fertility treatments have dramatically improved the chances of motherhood for millions of women.</w:t>
      </w:r>
    </w:p>
    <w:p>
      <w:pPr>
        <w:spacing w:after="150"/>
      </w:pPr>
      <w:r>
        <w:rPr>
          <w:b/>
          <w:bCs/>
        </w:rPr>
        <w:t xml:space="preserve">The reasons for female subfertility and specific causes of infertility can include:</w:t>
      </w:r>
    </w:p>
    <w:p>
      <w:pPr>
        <w:pStyle w:val="ListParagraph"/>
        <w:numPr>
          <w:ilvl w:val="0"/>
          <w:numId w:val="2"/>
        </w:numPr>
        <w:spacing w:after="60"/>
      </w:pPr>
      <w:r>
        <w:t xml:space="preserve">Nutritional deficiencies</w:t>
      </w:r>
    </w:p>
    <w:p>
      <w:pPr>
        <w:pStyle w:val="ListParagraph"/>
        <w:numPr>
          <w:ilvl w:val="0"/>
          <w:numId w:val="2"/>
        </w:numPr>
        <w:spacing w:after="60"/>
      </w:pPr>
      <w:r>
        <w:t xml:space="preserve">Hormonal imbalances</w:t>
      </w:r>
    </w:p>
    <w:p>
      <w:pPr>
        <w:pStyle w:val="ListParagraph"/>
        <w:numPr>
          <w:ilvl w:val="0"/>
          <w:numId w:val="2"/>
        </w:numPr>
        <w:spacing w:after="60"/>
      </w:pPr>
      <w:r>
        <w:t xml:space="preserve">Conditions such as </w:t>
      </w:r>
      <w:r>
        <w:rPr>
          <w:b/>
          <w:bCs/>
          <w:color w:val="6E1E3C"/>
        </w:rPr>
        <w:t xml:space="preserve">endometriosis and adenomyosis</w:t>
      </w:r>
    </w:p>
    <w:p>
      <w:pPr>
        <w:pStyle w:val="ListParagraph"/>
        <w:numPr>
          <w:ilvl w:val="0"/>
          <w:numId w:val="2"/>
        </w:numPr>
        <w:spacing w:after="60"/>
      </w:pPr>
      <w:r>
        <w:rPr>
          <w:b/>
          <w:bCs/>
          <w:color w:val="6E1E3C"/>
        </w:rPr>
        <w:t xml:space="preserve">Polycystic ovarian syndrome</w:t>
      </w:r>
    </w:p>
    <w:p>
      <w:pPr>
        <w:pStyle w:val="ListParagraph"/>
        <w:numPr>
          <w:ilvl w:val="0"/>
          <w:numId w:val="2"/>
        </w:numPr>
        <w:spacing w:after="60"/>
      </w:pPr>
      <w:r>
        <w:rPr>
          <w:b/>
          <w:bCs/>
          <w:color w:val="6E1E3C"/>
        </w:rPr>
        <w:t xml:space="preserve">Fibroids</w:t>
      </w:r>
    </w:p>
    <w:p>
      <w:pPr>
        <w:pStyle w:val="ListParagraph"/>
        <w:numPr>
          <w:ilvl w:val="0"/>
          <w:numId w:val="2"/>
        </w:numPr>
        <w:spacing w:after="60"/>
      </w:pPr>
      <w:r>
        <w:t xml:space="preserve">Tubal or cervical blockages</w:t>
      </w:r>
    </w:p>
    <w:p>
      <w:pPr>
        <w:pStyle w:val="ListParagraph"/>
        <w:numPr>
          <w:ilvl w:val="0"/>
          <w:numId w:val="2"/>
        </w:numPr>
        <w:spacing w:after="60"/>
      </w:pPr>
      <w:r>
        <w:t xml:space="preserve">Prior medical operations</w:t>
      </w:r>
    </w:p>
    <w:p>
      <w:pPr>
        <w:pStyle w:val="ListParagraph"/>
        <w:numPr>
          <w:ilvl w:val="0"/>
          <w:numId w:val="2"/>
        </w:numPr>
        <w:spacing w:after="60"/>
      </w:pPr>
      <w:r>
        <w:t xml:space="preserve">Other 'unexplained' factors</w:t>
      </w:r>
    </w:p>
    <w:p>
      <w:pPr>
        <w:pStyle w:val="ListParagraph"/>
        <w:numPr>
          <w:ilvl w:val="0"/>
          <w:numId w:val="2"/>
        </w:numPr>
        <w:spacing w:after="60"/>
      </w:pPr>
      <w:r>
        <w:t xml:space="preserve">Causes linked to </w:t>
      </w:r>
      <w:r>
        <w:rPr>
          <w:b/>
          <w:bCs/>
          <w:color w:val="6E1E3C"/>
        </w:rPr>
        <w:t xml:space="preserve">Recurrent Pregnancy Loss (RPL)</w:t>
      </w:r>
    </w:p>
    <w:p>
      <w:pPr>
        <w:spacing w:after="300" w:before="200"/>
      </w:pPr>
      <w:r>
        <w:t xml:space="preserve">At Bourn Hall, we're dedicated to supporting all people to start and grow their families according to their unique circumstances. By combining the latest advancements in reproductive medicine with a compassionate team of experts, we will guide, support and nurture you on your fertility journey.</w:t>
      </w:r>
    </w:p>
    <w:p>
      <w:pPr>
        <w:pBdr>
          <w:top w:val="single" w:color="6E1E3C" w:sz="6" w:space="8"/>
        </w:pBdr>
        <w:spacing w:before="100"/>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2026-09-16T10:47:24.428Z</dcterms:created>
  <dcterms:modified xsi:type="dcterms:W3CDTF">2026-09-16T10:47:24.437Z</dcterms:modified>
</cp:coreProperties>
</file>

<file path=docProps/custom.xml><?xml version="1.0" encoding="utf-8"?>
<Properties xmlns="http://schemas.openxmlformats.org/officeDocument/2006/custom-properties" xmlns:vt="http://schemas.openxmlformats.org/officeDocument/2006/docPropsVTypes"/>
</file>