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e3a5f"/>
          <w:sz w:val="32"/>
          <w:szCs w:val="32"/>
        </w:rPr>
        <w:t xml:space="preserve">⚡ Agent Mesh SRE</w:t>
      </w:r>
    </w:p>
    <w:p>
      <w:pPr>
        <w:spacing w:after="200"/>
        <w:jc w:val="center"/>
      </w:pPr>
      <w:r>
        <w:rPr>
          <w:b/>
          <w:bCs/>
          <w:color w:val="1e3a5f"/>
          <w:sz w:val="56"/>
          <w:szCs w:val="56"/>
        </w:rPr>
        <w:t xml:space="preserve">Architecture &amp; MCP-Governed
Kafka Intelligence</w:t>
      </w:r>
    </w:p>
    <w:p>
      <w:pPr>
        <w:spacing w:after="800"/>
        <w:jc w:val="center"/>
      </w:pPr>
      <w:r>
        <w:rPr>
          <w:i/>
          <w:iCs/>
          <w:color w:val="6b7280"/>
          <w:sz w:val="24"/>
          <w:szCs w:val="24"/>
        </w:rPr>
        <w:t xml:space="preserve">Stack: Next.js 14 · TypeScript · React · KafkaJS · Confluent for Kubernetes on DigitalOcean</w:t>
      </w:r>
    </w:p>
    <w:p>
      <w:pPr>
        <w:jc w:val="center"/>
      </w:pPr>
      <w:r>
        <w:rPr>
          <w:color w:val="6b7280"/>
          <w:sz w:val="20"/>
          <w:szCs w:val="20"/>
        </w:rPr>
        <w:t xml:space="preserve">Kafka cluster: 64.227.25.232:31090 · RF=3 · 7 topics · KRaft mode
Deployed: agent-mesh-sre.vercel.app  |  Version 4.0  |  July 2026</w:t>
      </w:r>
    </w:p>
    <w:p>
      <w:r>
        <w:br w:type="page"/>
      </w:r>
    </w:p>
    <w:p>
      <w:pPr>
        <w:sectPr>
          <w:footerReference w:type="default" r:id="rId7"/>
          <w:pgSz w:w="12240" w:h="15840" w:orient="portrait"/>
          <w:pgMar w:top="1440" w:right="1440" w:bottom="1440" w:left="1440" w:header="708" w:footer="708" w:gutter="0"/>
          <w:pgNumType/>
          <w:titlePg/>
          <w:docGrid w:linePitch="360"/>
        </w:sectPr>
      </w:pPr>
    </w:p>
    <w:p>
      <w:pPr>
        <w:pStyle w:val="Heading1"/>
        <w:spacing w:after="200" w:before="400"/>
      </w:pPr>
      <w:r>
        <w:t xml:space="preserve">1. System Overview</w:t>
      </w:r>
    </w:p>
    <w:p>
      <w:pPr>
        <w:spacing w:after="150"/>
      </w:pPr>
      <w:r>
        <w:t xml:space="preserve">Agent Mesh SRE is a proof-of-concept platform that demonstrates AI-governed, self-healing operations for Apache Kafka clusters. It implements the M→R→A→L loop (Monitor, Reason, Act, Learn) across a four-agent mesh, where each agent is a specialised AI actor connected exclusively through Kafka topics. The platform runs against a live Confluent for Kubernetes cluster on DigitalOcean Kubernetes Service, with every consequential action gated behind a human approval step before any infrastructure mutation is executed.</w:t>
      </w:r>
    </w:p>
    <w:p>
      <w:pPr>
        <w:spacing w:after="150"/>
      </w:pPr>
      <w:r>
        <w:t xml:space="preserve">The central thesis: rather than a human SRE watching dashboards and responding to alerts, an AI mesh continuously ingests cluster telemetry, diagnoses incidents with ranked confidence, proposes corrective actions with structured rationale, and learns from each outcome — forming a closed, improving loop that compounds institutional knowledge over time without model retraining.</w:t>
      </w:r>
    </w:p>
    <w:p>
      <w:pPr>
        <w:pBdr>
          <w:top w:val="single" w:color="d1d5db" w:sz="2"/>
          <w:bottom w:val="single" w:color="d1d5db" w:sz="2"/>
          <w:left w:val="single" w:color="d1d5db" w:sz="2"/>
          <w:right w:val="single" w:color="d1d5db" w:sz="2"/>
        </w:pBdr>
        <w:shd w:fill="f3f4f6" w:val="clear"/>
        <w:spacing w:after="150" w:before="80"/>
      </w:pPr>
      <w:r>
        <w:rPr>
          <w:rFonts w:ascii="Courier New" w:cs="Courier New" w:eastAsia="Courier New" w:hAnsi="Courier New"/>
          <w:sz w:val="19"/>
          <w:szCs w:val="19"/>
        </w:rPr>
        <w:t xml:space="preserve">         MONITOR                REASON
    Ingest metrics    →   Root-cause analysis
    Detect anomalies       Confidence scoring
         ↑                        ↓
        LEARN                    ACT
  Record lesson         ←   MCP tool call
  Update ops.lessons.v1     (gated or auto)
        The MRAL Loop — continuous, compounding</w:t>
      </w:r>
    </w:p>
    <w:p>
      <w:pPr>
        <w:spacing w:after="150"/>
      </w:pPr>
      <w:r>
        <w:rPr>
          <w:i/>
          <w:iCs/>
          <w:color w:val="6b7280"/>
          <w:sz w:val="18"/>
          <w:szCs w:val="18"/>
        </w:rPr>
        <w:t xml:space="preserve">Figure 1 — The MRAL loop, showing the four phases of each incident lifecycle</w:t>
      </w:r>
    </w:p>
    <w:p>
      <w:pPr>
        <w:sectPr>
          <w:footerReference w:type="default" r:id="rId8"/>
          <w:pgSz w:w="12240" w:h="15840" w:orient="portrait"/>
          <w:pgMar w:top="1440" w:right="1440" w:bottom="1440" w:left="1440" w:header="708" w:footer="708" w:gutter="0"/>
          <w:pgNumType/>
          <w:titlePg w:val="false"/>
          <w:docGrid w:linePitch="360"/>
        </w:sectPr>
      </w:pPr>
    </w:p>
    <w:p>
      <w:pPr>
        <w:pStyle w:val="Heading1"/>
        <w:spacing w:after="200" w:before="400"/>
      </w:pPr>
      <w:r>
        <w:t xml:space="preserve">2. Four-Agent Mesh Architecture</w:t>
      </w:r>
    </w:p>
    <w:p>
      <w:pPr>
        <w:pBdr>
          <w:top w:val="single" w:color="d1d5db" w:sz="2"/>
          <w:bottom w:val="single" w:color="d1d5db" w:sz="2"/>
          <w:left w:val="single" w:color="d1d5db" w:sz="2"/>
          <w:right w:val="single" w:color="d1d5db" w:sz="2"/>
        </w:pBdr>
        <w:shd w:fill="f3f4f6" w:val="clear"/>
        <w:spacing w:after="150" w:before="80"/>
      </w:pPr>
      <w:r>
        <w:rPr>
          <w:rFonts w:ascii="Courier New" w:cs="Courier New" w:eastAsia="Courier New" w:hAnsi="Courier New"/>
          <w:sz w:val="19"/>
          <w:szCs w:val="19"/>
        </w:rPr>
        <w:t xml:space="preserve">                    BROKER (64.227.25.232)
       ops.requests.v1        ops.incidents.v1
       ops.notifications.v1   ops.actions.audit.v1
                  ops.lessons.v1 (read)
   INTAKE          MONITOR          WRITER          NOTIFY
   MCP Gateway      SRE Brain      Postmortem       Outbound
                                    Author           Router
   Four agents connected exclusively via Kafka topics</w:t>
      </w:r>
    </w:p>
    <w:p>
      <w:pPr>
        <w:spacing w:after="150"/>
      </w:pPr>
      <w:r>
        <w:rPr>
          <w:i/>
          <w:iCs/>
          <w:color w:val="6b7280"/>
          <w:sz w:val="18"/>
          <w:szCs w:val="18"/>
        </w:rPr>
        <w:t xml:space="preserve">Figure 2 — Four-agent mesh connected exclusively via Kafka topics on Confluent for Kubernetes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1500"/>
        <w:gridCol w:w="1700"/>
      </w:tblGrid>
      <w:tr>
        <w:trPr>
          <w:tblHeader/>
        </w:trPr>
        <w:tc>
          <w:tcPr>
            <w:tcW w:type="dxa" w:w="1500"/>
            <w:shd w:fill="1e3a5f" w:val="clear"/>
            <w:tcMar>
              <w:top w:type="dxa" w:w="80"/>
              <w:left w:type="dxa" w:w="100"/>
              <w:bottom w:type="dxa" w:w="80"/>
              <w:right w:type="dxa" w:w="100"/>
            </w:tcMar>
          </w:tcPr>
          <w:p>
            <w:r>
              <w:rPr>
                <w:b/>
                <w:bCs/>
                <w:color w:val="FFFFFF"/>
                <w:sz w:val="19"/>
                <w:szCs w:val="19"/>
              </w:rPr>
              <w:t xml:space="preserve">Agent</w:t>
            </w:r>
          </w:p>
        </w:tc>
        <w:tc>
          <w:tcPr>
            <w:tcW w:type="dxa" w:w="2000"/>
            <w:shd w:fill="1e3a5f" w:val="clear"/>
            <w:tcMar>
              <w:top w:type="dxa" w:w="80"/>
              <w:left w:type="dxa" w:w="100"/>
              <w:bottom w:type="dxa" w:w="80"/>
              <w:right w:type="dxa" w:w="100"/>
            </w:tcMar>
          </w:tcPr>
          <w:p>
            <w:r>
              <w:rPr>
                <w:b/>
                <w:bCs/>
                <w:color w:val="FFFFFF"/>
                <w:sz w:val="19"/>
                <w:szCs w:val="19"/>
              </w:rPr>
              <w:t xml:space="preserve">Role</w:t>
            </w:r>
          </w:p>
        </w:tc>
        <w:tc>
          <w:tcPr>
            <w:tcW w:type="dxa" w:w="2400"/>
            <w:shd w:fill="1e3a5f" w:val="clear"/>
            <w:tcMar>
              <w:top w:type="dxa" w:w="80"/>
              <w:left w:type="dxa" w:w="100"/>
              <w:bottom w:type="dxa" w:w="80"/>
              <w:right w:type="dxa" w:w="100"/>
            </w:tcMar>
          </w:tcPr>
          <w:p>
            <w:r>
              <w:rPr>
                <w:b/>
                <w:bCs/>
                <w:color w:val="FFFFFF"/>
                <w:sz w:val="19"/>
                <w:szCs w:val="19"/>
              </w:rPr>
              <w:t xml:space="preserve">MCP Tools</w:t>
            </w:r>
          </w:p>
        </w:tc>
        <w:tc>
          <w:tcPr>
            <w:tcW w:type="dxa" w:w="1500"/>
            <w:shd w:fill="1e3a5f" w:val="clear"/>
            <w:tcMar>
              <w:top w:type="dxa" w:w="80"/>
              <w:left w:type="dxa" w:w="100"/>
              <w:bottom w:type="dxa" w:w="80"/>
              <w:right w:type="dxa" w:w="100"/>
            </w:tcMar>
          </w:tcPr>
          <w:p>
            <w:r>
              <w:rPr>
                <w:b/>
                <w:bCs/>
                <w:color w:val="FFFFFF"/>
                <w:sz w:val="19"/>
                <w:szCs w:val="19"/>
              </w:rPr>
              <w:t xml:space="preserve">Consumes</w:t>
            </w:r>
          </w:p>
        </w:tc>
        <w:tc>
          <w:tcPr>
            <w:tcW w:type="dxa" w:w="1700"/>
            <w:shd w:fill="1e3a5f" w:val="clear"/>
            <w:tcMar>
              <w:top w:type="dxa" w:w="80"/>
              <w:left w:type="dxa" w:w="100"/>
              <w:bottom w:type="dxa" w:w="80"/>
              <w:right w:type="dxa" w:w="100"/>
            </w:tcMar>
          </w:tcPr>
          <w:p>
            <w:r>
              <w:rPr>
                <w:b/>
                <w:bCs/>
                <w:color w:val="FFFFFF"/>
                <w:sz w:val="19"/>
                <w:szCs w:val="19"/>
              </w:rPr>
              <w:t xml:space="preserve">Produces</w:t>
            </w:r>
          </w:p>
        </w:tc>
      </w:tr>
      <w:tr>
        <w:tc>
          <w:tcPr>
            <w:tcW w:type="dxa" w:w="1500"/>
            <w:tcMar>
              <w:top w:type="dxa" w:w="80"/>
              <w:left w:type="dxa" w:w="100"/>
              <w:bottom w:type="dxa" w:w="80"/>
              <w:right w:type="dxa" w:w="100"/>
            </w:tcMar>
          </w:tcPr>
          <w:p>
            <w:r>
              <w:rPr>
                <w:b w:val="false"/>
                <w:bCs w:val="false"/>
                <w:color w:val="000000"/>
                <w:sz w:val="19"/>
                <w:szCs w:val="19"/>
              </w:rPr>
              <w:t xml:space="preserve">INTAKE</w:t>
            </w:r>
          </w:p>
        </w:tc>
        <w:tc>
          <w:tcPr>
            <w:tcW w:type="dxa" w:w="2000"/>
            <w:tcMar>
              <w:top w:type="dxa" w:w="80"/>
              <w:left w:type="dxa" w:w="100"/>
              <w:bottom w:type="dxa" w:w="80"/>
              <w:right w:type="dxa" w:w="100"/>
            </w:tcMar>
          </w:tcPr>
          <w:p>
            <w:r>
              <w:rPr>
                <w:b w:val="false"/>
                <w:bCs w:val="false"/>
                <w:color w:val="000000"/>
                <w:sz w:val="19"/>
                <w:szCs w:val="19"/>
              </w:rPr>
              <w:t xml:space="preserve">MCP Gateway — receives operator requests and anomaly signals</w:t>
            </w:r>
          </w:p>
        </w:tc>
        <w:tc>
          <w:tcPr>
            <w:tcW w:type="dxa" w:w="2400"/>
            <w:tcMar>
              <w:top w:type="dxa" w:w="80"/>
              <w:left w:type="dxa" w:w="100"/>
              <w:bottom w:type="dxa" w:w="80"/>
              <w:right w:type="dxa" w:w="100"/>
            </w:tcMar>
          </w:tcPr>
          <w:p>
            <w:r>
              <w:rPr>
                <w:b w:val="false"/>
                <w:bCs w:val="false"/>
                <w:color w:val="000000"/>
                <w:sz w:val="19"/>
                <w:szCs w:val="19"/>
              </w:rPr>
              <w:t xml:space="preserve">intake.submitOpsRequest</w:t>
            </w:r>
          </w:p>
        </w:tc>
        <w:tc>
          <w:tcPr>
            <w:tcW w:type="dxa" w:w="1500"/>
            <w:tcMar>
              <w:top w:type="dxa" w:w="80"/>
              <w:left w:type="dxa" w:w="100"/>
              <w:bottom w:type="dxa" w:w="80"/>
              <w:right w:type="dxa" w:w="100"/>
            </w:tcMar>
          </w:tcPr>
          <w:p>
            <w:r>
              <w:rPr>
                <w:b w:val="false"/>
                <w:bCs w:val="false"/>
                <w:color w:val="000000"/>
                <w:sz w:val="19"/>
                <w:szCs w:val="19"/>
              </w:rPr>
              <w:t xml:space="preserve">—</w:t>
            </w:r>
          </w:p>
        </w:tc>
        <w:tc>
          <w:tcPr>
            <w:tcW w:type="dxa" w:w="1700"/>
            <w:tcMar>
              <w:top w:type="dxa" w:w="80"/>
              <w:left w:type="dxa" w:w="100"/>
              <w:bottom w:type="dxa" w:w="80"/>
              <w:right w:type="dxa" w:w="100"/>
            </w:tcMar>
          </w:tcPr>
          <w:p>
            <w:r>
              <w:rPr>
                <w:b w:val="false"/>
                <w:bCs w:val="false"/>
                <w:color w:val="000000"/>
                <w:sz w:val="19"/>
                <w:szCs w:val="19"/>
              </w:rPr>
              <w:t xml:space="preserve">ops.requests.v1</w:t>
            </w:r>
          </w:p>
        </w:tc>
      </w:tr>
      <w:tr>
        <w:tc>
          <w:tcPr>
            <w:tcW w:type="dxa" w:w="1500"/>
            <w:tcMar>
              <w:top w:type="dxa" w:w="80"/>
              <w:left w:type="dxa" w:w="100"/>
              <w:bottom w:type="dxa" w:w="80"/>
              <w:right w:type="dxa" w:w="100"/>
            </w:tcMar>
          </w:tcPr>
          <w:p>
            <w:r>
              <w:rPr>
                <w:b w:val="false"/>
                <w:bCs w:val="false"/>
                <w:color w:val="000000"/>
                <w:sz w:val="19"/>
                <w:szCs w:val="19"/>
              </w:rPr>
              <w:t xml:space="preserve">MONITOR</w:t>
            </w:r>
          </w:p>
        </w:tc>
        <w:tc>
          <w:tcPr>
            <w:tcW w:type="dxa" w:w="2000"/>
            <w:tcMar>
              <w:top w:type="dxa" w:w="80"/>
              <w:left w:type="dxa" w:w="100"/>
              <w:bottom w:type="dxa" w:w="80"/>
              <w:right w:type="dxa" w:w="100"/>
            </w:tcMar>
          </w:tcPr>
          <w:p>
            <w:r>
              <w:rPr>
                <w:b w:val="false"/>
                <w:bCs w:val="false"/>
                <w:color w:val="000000"/>
                <w:sz w:val="19"/>
                <w:szCs w:val="19"/>
              </w:rPr>
              <w:t xml:space="preserve">SRE Brain — drives the complete MRAL loop</w:t>
            </w:r>
          </w:p>
        </w:tc>
        <w:tc>
          <w:tcPr>
            <w:tcW w:type="dxa" w:w="2400"/>
            <w:tcMar>
              <w:top w:type="dxa" w:w="80"/>
              <w:left w:type="dxa" w:w="100"/>
              <w:bottom w:type="dxa" w:w="80"/>
              <w:right w:type="dxa" w:w="100"/>
            </w:tcMar>
          </w:tcPr>
          <w:p>
            <w:r>
              <w:rPr>
                <w:b w:val="false"/>
                <w:bCs w:val="false"/>
                <w:color w:val="000000"/>
                <w:sz w:val="19"/>
                <w:szCs w:val="19"/>
              </w:rPr>
              <w:t xml:space="preserve">kafka.scaleConsumers, acknowledgeFailover, acknowledgeShareGroupRebalance, updateSchemaCompatibility, suppressRebalancePage</w:t>
            </w:r>
          </w:p>
        </w:tc>
        <w:tc>
          <w:tcPr>
            <w:tcW w:type="dxa" w:w="1500"/>
            <w:tcMar>
              <w:top w:type="dxa" w:w="80"/>
              <w:left w:type="dxa" w:w="100"/>
              <w:bottom w:type="dxa" w:w="80"/>
              <w:right w:type="dxa" w:w="100"/>
            </w:tcMar>
          </w:tcPr>
          <w:p>
            <w:r>
              <w:rPr>
                <w:b w:val="false"/>
                <w:bCs w:val="false"/>
                <w:color w:val="000000"/>
                <w:sz w:val="19"/>
                <w:szCs w:val="19"/>
              </w:rPr>
              <w:t xml:space="preserve">ops.requests.v1, ops.kafka.metrics.v1, ops.lessons.v1</w:t>
            </w:r>
          </w:p>
        </w:tc>
        <w:tc>
          <w:tcPr>
            <w:tcW w:type="dxa" w:w="1700"/>
            <w:tcMar>
              <w:top w:type="dxa" w:w="80"/>
              <w:left w:type="dxa" w:w="100"/>
              <w:bottom w:type="dxa" w:w="80"/>
              <w:right w:type="dxa" w:w="100"/>
            </w:tcMar>
          </w:tcPr>
          <w:p>
            <w:r>
              <w:rPr>
                <w:b w:val="false"/>
                <w:bCs w:val="false"/>
                <w:color w:val="000000"/>
                <w:sz w:val="19"/>
                <w:szCs w:val="19"/>
              </w:rPr>
              <w:t xml:space="preserve">ops.incidents.v1, ops.actions.audit.v1, ops.lessons.v1</w:t>
            </w:r>
          </w:p>
        </w:tc>
      </w:tr>
      <w:tr>
        <w:tc>
          <w:tcPr>
            <w:tcW w:type="dxa" w:w="1500"/>
            <w:tcMar>
              <w:top w:type="dxa" w:w="80"/>
              <w:left w:type="dxa" w:w="100"/>
              <w:bottom w:type="dxa" w:w="80"/>
              <w:right w:type="dxa" w:w="100"/>
            </w:tcMar>
          </w:tcPr>
          <w:p>
            <w:r>
              <w:rPr>
                <w:b w:val="false"/>
                <w:bCs w:val="false"/>
                <w:color w:val="000000"/>
                <w:sz w:val="19"/>
                <w:szCs w:val="19"/>
              </w:rPr>
              <w:t xml:space="preserve">WRITER</w:t>
            </w:r>
          </w:p>
        </w:tc>
        <w:tc>
          <w:tcPr>
            <w:tcW w:type="dxa" w:w="2000"/>
            <w:tcMar>
              <w:top w:type="dxa" w:w="80"/>
              <w:left w:type="dxa" w:w="100"/>
              <w:bottom w:type="dxa" w:w="80"/>
              <w:right w:type="dxa" w:w="100"/>
            </w:tcMar>
          </w:tcPr>
          <w:p>
            <w:r>
              <w:rPr>
                <w:b w:val="false"/>
                <w:bCs w:val="false"/>
                <w:color w:val="000000"/>
                <w:sz w:val="19"/>
                <w:szCs w:val="19"/>
              </w:rPr>
              <w:t xml:space="preserve">Postmortem Author — drafts structured incident reports</w:t>
            </w:r>
          </w:p>
        </w:tc>
        <w:tc>
          <w:tcPr>
            <w:tcW w:type="dxa" w:w="2400"/>
            <w:tcMar>
              <w:top w:type="dxa" w:w="80"/>
              <w:left w:type="dxa" w:w="100"/>
              <w:bottom w:type="dxa" w:w="80"/>
              <w:right w:type="dxa" w:w="100"/>
            </w:tcMar>
          </w:tcPr>
          <w:p>
            <w:r>
              <w:rPr>
                <w:b w:val="false"/>
                <w:bCs w:val="false"/>
                <w:color w:val="000000"/>
                <w:sz w:val="19"/>
                <w:szCs w:val="19"/>
              </w:rPr>
              <w:t xml:space="preserve">writer.draftIncidentReport</w:t>
            </w:r>
          </w:p>
        </w:tc>
        <w:tc>
          <w:tcPr>
            <w:tcW w:type="dxa" w:w="1500"/>
            <w:tcMar>
              <w:top w:type="dxa" w:w="80"/>
              <w:left w:type="dxa" w:w="100"/>
              <w:bottom w:type="dxa" w:w="80"/>
              <w:right w:type="dxa" w:w="100"/>
            </w:tcMar>
          </w:tcPr>
          <w:p>
            <w:r>
              <w:rPr>
                <w:b w:val="false"/>
                <w:bCs w:val="false"/>
                <w:color w:val="000000"/>
                <w:sz w:val="19"/>
                <w:szCs w:val="19"/>
              </w:rPr>
              <w:t xml:space="preserve">ops.incidents.v1</w:t>
            </w:r>
          </w:p>
        </w:tc>
        <w:tc>
          <w:tcPr>
            <w:tcW w:type="dxa" w:w="1700"/>
            <w:tcMar>
              <w:top w:type="dxa" w:w="80"/>
              <w:left w:type="dxa" w:w="100"/>
              <w:bottom w:type="dxa" w:w="80"/>
              <w:right w:type="dxa" w:w="100"/>
            </w:tcMar>
          </w:tcPr>
          <w:p>
            <w:r>
              <w:rPr>
                <w:b w:val="false"/>
                <w:bCs w:val="false"/>
                <w:color w:val="000000"/>
                <w:sz w:val="19"/>
                <w:szCs w:val="19"/>
              </w:rPr>
              <w:t xml:space="preserve">ops.actions.audit.v1</w:t>
            </w:r>
          </w:p>
        </w:tc>
      </w:tr>
      <w:tr>
        <w:tc>
          <w:tcPr>
            <w:tcW w:type="dxa" w:w="1500"/>
            <w:tcMar>
              <w:top w:type="dxa" w:w="80"/>
              <w:left w:type="dxa" w:w="100"/>
              <w:bottom w:type="dxa" w:w="80"/>
              <w:right w:type="dxa" w:w="100"/>
            </w:tcMar>
          </w:tcPr>
          <w:p>
            <w:r>
              <w:rPr>
                <w:b w:val="false"/>
                <w:bCs w:val="false"/>
                <w:color w:val="000000"/>
                <w:sz w:val="19"/>
                <w:szCs w:val="19"/>
              </w:rPr>
              <w:t xml:space="preserve">NOTIFICATION</w:t>
            </w:r>
          </w:p>
        </w:tc>
        <w:tc>
          <w:tcPr>
            <w:tcW w:type="dxa" w:w="2000"/>
            <w:tcMar>
              <w:top w:type="dxa" w:w="80"/>
              <w:left w:type="dxa" w:w="100"/>
              <w:bottom w:type="dxa" w:w="80"/>
              <w:right w:type="dxa" w:w="100"/>
            </w:tcMar>
          </w:tcPr>
          <w:p>
            <w:r>
              <w:rPr>
                <w:b w:val="false"/>
                <w:bCs w:val="false"/>
                <w:color w:val="000000"/>
                <w:sz w:val="19"/>
                <w:szCs w:val="19"/>
              </w:rPr>
              <w:t xml:space="preserve">Outbound Router — dispatches Slack, ITSM, email</w:t>
            </w:r>
          </w:p>
        </w:tc>
        <w:tc>
          <w:tcPr>
            <w:tcW w:type="dxa" w:w="2400"/>
            <w:tcMar>
              <w:top w:type="dxa" w:w="80"/>
              <w:left w:type="dxa" w:w="100"/>
              <w:bottom w:type="dxa" w:w="80"/>
              <w:right w:type="dxa" w:w="100"/>
            </w:tcMar>
          </w:tcPr>
          <w:p>
            <w:r>
              <w:rPr>
                <w:b w:val="false"/>
                <w:bCs w:val="false"/>
                <w:color w:val="000000"/>
                <w:sz w:val="19"/>
                <w:szCs w:val="19"/>
              </w:rPr>
              <w:t xml:space="preserve">notify.slack, itsm.openTicket</w:t>
            </w:r>
          </w:p>
        </w:tc>
        <w:tc>
          <w:tcPr>
            <w:tcW w:type="dxa" w:w="1500"/>
            <w:tcMar>
              <w:top w:type="dxa" w:w="80"/>
              <w:left w:type="dxa" w:w="100"/>
              <w:bottom w:type="dxa" w:w="80"/>
              <w:right w:type="dxa" w:w="100"/>
            </w:tcMar>
          </w:tcPr>
          <w:p>
            <w:r>
              <w:rPr>
                <w:b w:val="false"/>
                <w:bCs w:val="false"/>
                <w:color w:val="000000"/>
                <w:sz w:val="19"/>
                <w:szCs w:val="19"/>
              </w:rPr>
              <w:t xml:space="preserve">ops.actions.audit.v1</w:t>
            </w:r>
          </w:p>
        </w:tc>
        <w:tc>
          <w:tcPr>
            <w:tcW w:type="dxa" w:w="1700"/>
            <w:tcMar>
              <w:top w:type="dxa" w:w="80"/>
              <w:left w:type="dxa" w:w="100"/>
              <w:bottom w:type="dxa" w:w="80"/>
              <w:right w:type="dxa" w:w="100"/>
            </w:tcMar>
          </w:tcPr>
          <w:p>
            <w:r>
              <w:rPr>
                <w:b w:val="false"/>
                <w:bCs w:val="false"/>
                <w:color w:val="000000"/>
                <w:sz w:val="19"/>
                <w:szCs w:val="19"/>
              </w:rPr>
              <w:t xml:space="preserve">ops.notifications.v1</w:t>
            </w:r>
          </w:p>
        </w:tc>
      </w:tr>
    </w:tbl>
    <w:p>
      <w:pPr>
        <w:sectPr>
          <w:footerReference w:type="default" r:id="rId9"/>
          <w:pgSz w:w="12240" w:h="15840" w:orient="portrait"/>
          <w:pgMar w:top="1440" w:right="1440" w:bottom="1440" w:left="1440" w:header="708" w:footer="708" w:gutter="0"/>
          <w:pgNumType/>
          <w:titlePg w:val="false"/>
          <w:docGrid w:linePitch="360"/>
        </w:sectPr>
      </w:pPr>
    </w:p>
    <w:p>
      <w:pPr>
        <w:pStyle w:val="Heading1"/>
        <w:spacing w:after="200" w:before="400"/>
      </w:pPr>
      <w:r>
        <w:t xml:space="preserve">3. The MRAL Loop in Detail</w:t>
      </w:r>
    </w:p>
    <w:p>
      <w:pPr>
        <w:pStyle w:val="Heading2"/>
        <w:spacing w:after="150" w:before="300"/>
      </w:pPr>
      <w:r>
        <w:t xml:space="preserve">3.1 Monitor Phase</w:t>
      </w:r>
    </w:p>
    <w:p>
      <w:pPr>
        <w:spacing w:after="150"/>
      </w:pPr>
      <w:r>
        <w:t xml:space="preserve">The Monitor agent continuously ingests two streams: ops.kafka.metrics.v1 (cluster telemetry: consumer lag, partition health, broker load, ISR counts) and ops.requests.v1 (operator-submitted scenario triggers). It applies threshold evaluators against each incoming metric snapshot to detect anomalies. The detection logic is intentionally probabilistic rather than binary. Each evaluator returns a TriggerResult with a confidence score (0–1), a gate classification (auto, approval, or suppress), and a cause string.</w:t>
      </w:r>
    </w:p>
    <w:p>
      <w:pPr>
        <w:pStyle w:val="Heading2"/>
        <w:spacing w:after="150" w:before="300"/>
      </w:pPr>
      <w:r>
        <w:t xml:space="preserve">3.2 Reason Phase</w:t>
      </w:r>
    </w:p>
    <w:p>
      <w:pPr>
        <w:spacing w:after="150"/>
      </w:pPr>
      <w:r>
        <w:t xml:space="preserve">Once an anomaly is confirmed, the Monitor agent builds a ReasoningOutput object containing: rootCause, confidence, kafkaFeatureCited (the specific Kafka feature implicated — KIP-848, KRaft, Schema Registry, KIP-932), rebalanceState, controllerEpoch, crossCorrelation (broker JVM heap, network I/O rate, rebalance-in-progress flag), recommendedAction, requiresApproval, rationale, and lessonsCited (IDs of prior lessons from ops.lessons.v1 that informed this reasoning).</w:t>
      </w:r>
    </w:p>
    <w:p>
      <w:pPr>
        <w:pStyle w:val="Heading2"/>
        <w:spacing w:after="150" w:before="300"/>
      </w:pPr>
      <w:r>
        <w:t xml:space="preserve">3.3 Act Phase</w:t>
      </w:r>
    </w:p>
    <w:p>
      <w:pPr>
        <w:spacing w:after="150"/>
      </w:pPr>
      <w:r>
        <w:t xml:space="preserve">The Act phase bifurcates on requiresApproval. On the auto-remediation path (gate=auto), the Monitor agent calls the MCP tool directly and records the action to ops.actions.audit.v1. On the approval-gated path, it constructs a full ApprovalRequest object and publishes it to the SSE bus; the operator reviews the proposal in the Policy Gate modal and either approves or rejects. The decision, actor identity, and timestamp are written to ops.actions.audit.v1 as an immutable record regardless of outcome.</w:t>
      </w:r>
    </w:p>
    <w:p>
      <w:pPr>
        <w:pStyle w:val="Heading2"/>
        <w:spacing w:after="150" w:before="300"/>
      </w:pPr>
      <w:r>
        <w:t xml:space="preserve">3.4 Learn Phase</w:t>
      </w:r>
    </w:p>
    <w:p>
      <w:pPr>
        <w:spacing w:after="150"/>
      </w:pPr>
      <w:r>
        <w:t xml:space="preserve">After each scenario completes, the Monitor agent publishes a LessonRecord to ops.lessons.v1 — a log-compacted topic with no expiry. On subsequent cycles the Monitor agent reads from ops.lessons.v1 and cites applicable lessons, creating a genuine self-improvement loop that compounds without model retraining.</w:t>
      </w:r>
    </w:p>
    <w:p>
      <w:pPr>
        <w:sectPr>
          <w:footerReference w:type="default" r:id="rId10"/>
          <w:pgSz w:w="12240" w:h="15840" w:orient="portrait"/>
          <w:pgMar w:top="1440" w:right="1440" w:bottom="1440" w:left="1440" w:header="708" w:footer="708" w:gutter="0"/>
          <w:pgNumType/>
          <w:titlePg w:val="false"/>
          <w:docGrid w:linePitch="360"/>
        </w:sectPr>
      </w:pPr>
    </w:p>
    <w:p>
      <w:pPr>
        <w:pStyle w:val="Heading1"/>
        <w:spacing w:after="200" w:before="400"/>
      </w:pPr>
      <w:r>
        <w:t xml:space="preserve">4. How MCP Tool Calls Work</w:t>
      </w:r>
    </w:p>
    <w:p>
      <w:pPr>
        <w:spacing w:after="150"/>
      </w:pPr>
      <w:r>
        <w:t xml:space="preserve">MCP (Model Context Protocol) is the structured interface through which the Monitor agent requests infrastructure mutations. Each tool call is a JSON-RPC 2.0 envelope:</w:t>
      </w:r>
    </w:p>
    <w:p>
      <w:pPr>
        <w:pBdr>
          <w:top w:val="single" w:color="d1d5db" w:sz="2"/>
          <w:bottom w:val="single" w:color="d1d5db" w:sz="2"/>
          <w:left w:val="single" w:color="d1d5db" w:sz="2"/>
          <w:right w:val="single" w:color="d1d5db" w:sz="2"/>
        </w:pBdr>
        <w:shd w:fill="f3f4f6" w:val="clear"/>
        <w:spacing w:after="150" w:before="80"/>
      </w:pPr>
      <w:r>
        <w:rPr>
          <w:rFonts w:ascii="Courier New" w:cs="Courier New" w:eastAsia="Courier New" w:hAnsi="Courier New"/>
          <w:sz w:val="19"/>
          <w:szCs w:val="19"/>
        </w:rPr>
        <w:t xml:space="preserve">{ "jsonrpc": "2.0", "id": "...", "method": "tools/call",
  "params": { "name": "kafka.scaleConsumers",
    "arguments": { "group": "payments-consumer", "delta": 2,
      "reason": "Lag spike: 4200 msgs, growth 420/s &gt; SLO 150/s" } } }</w:t>
      </w:r>
    </w:p>
    <w:p>
      <w:pPr>
        <w:pBdr>
          <w:top w:val="single" w:color="d1d5db" w:sz="2"/>
          <w:bottom w:val="single" w:color="d1d5db" w:sz="2"/>
          <w:left w:val="single" w:color="d1d5db" w:sz="2"/>
          <w:right w:val="single" w:color="d1d5db" w:sz="2"/>
        </w:pBdr>
        <w:shd w:fill="f3f4f6" w:val="clear"/>
        <w:spacing w:after="150" w:before="80"/>
      </w:pPr>
      <w:r>
        <w:rPr>
          <w:rFonts w:ascii="Courier New" w:cs="Courier New" w:eastAsia="Courier New" w:hAnsi="Courier New"/>
          <w:sz w:val="19"/>
          <w:szCs w:val="19"/>
        </w:rPr>
        <w:t xml:space="preserve">   Monitor detects anomaly
        ↓
   Reason phase builds ReasoningOutput
        ↓
   requiresApproval? —— false —→ MCP tool executed (AUTO)
        ↓ true
   Human Approval Gate —→ MCP tool executed (APPROVED)
   Every decision written to ops.actions.audit.v1 —
   immutable, timestamped, actor-attributed</w:t>
      </w:r>
    </w:p>
    <w:p>
      <w:pPr>
        <w:spacing w:after="150"/>
      </w:pPr>
      <w:r>
        <w:rPr>
          <w:i/>
          <w:iCs/>
          <w:color w:val="6b7280"/>
          <w:sz w:val="18"/>
          <w:szCs w:val="18"/>
        </w:rPr>
        <w:t xml:space="preserve">Figure 3 — MCP tool call flow: auto vs. approval-gated execution paths</w:t>
      </w:r>
    </w:p>
    <w:p>
      <w:pPr>
        <w:spacing w:after="150"/>
      </w:pPr>
      <w:r>
        <w:t xml:space="preserve">The MCP tool registry (src/lib/mcp.ts) defines every tool with its name, description, parameter schema, and a requiresApproval flag. Tools are bound to specific agents via AGENT_TOOLS — a map that enforces least-privilege access.</w:t>
      </w:r>
    </w:p>
    <w:p>
      <w:pPr>
        <w:pStyle w:val="Heading2"/>
        <w:spacing w:after="150" w:before="300"/>
      </w:pPr>
      <w:r>
        <w:t xml:space="preserve">4.1 Cluster-Level MCP Tools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1500"/>
        <w:gridCol w:w="2400"/>
      </w:tblGrid>
      <w:tr>
        <w:trPr>
          <w:tblHeader/>
        </w:trPr>
        <w:tc>
          <w:tcPr>
            <w:tcW w:type="dxa" w:w="2000"/>
            <w:shd w:fill="1e3a5f" w:val="clear"/>
            <w:tcMar>
              <w:top w:type="dxa" w:w="80"/>
              <w:left w:type="dxa" w:w="100"/>
              <w:bottom w:type="dxa" w:w="80"/>
              <w:right w:type="dxa" w:w="100"/>
            </w:tcMar>
          </w:tcPr>
          <w:p>
            <w:r>
              <w:rPr>
                <w:b/>
                <w:bCs/>
                <w:color w:val="FFFFFF"/>
                <w:sz w:val="19"/>
                <w:szCs w:val="19"/>
              </w:rPr>
              <w:t xml:space="preserve">Tool</w:t>
            </w:r>
          </w:p>
        </w:tc>
        <w:tc>
          <w:tcPr>
            <w:tcW w:type="dxa" w:w="2200"/>
            <w:shd w:fill="1e3a5f" w:val="clear"/>
            <w:tcMar>
              <w:top w:type="dxa" w:w="80"/>
              <w:left w:type="dxa" w:w="100"/>
              <w:bottom w:type="dxa" w:w="80"/>
              <w:right w:type="dxa" w:w="100"/>
            </w:tcMar>
          </w:tcPr>
          <w:p>
            <w:r>
              <w:rPr>
                <w:b/>
                <w:bCs/>
                <w:color w:val="FFFFFF"/>
                <w:sz w:val="19"/>
                <w:szCs w:val="19"/>
              </w:rPr>
              <w:t xml:space="preserve">Trigger</w:t>
            </w:r>
          </w:p>
        </w:tc>
        <w:tc>
          <w:tcPr>
            <w:tcW w:type="dxa" w:w="1000"/>
            <w:shd w:fill="1e3a5f" w:val="clear"/>
            <w:tcMar>
              <w:top w:type="dxa" w:w="80"/>
              <w:left w:type="dxa" w:w="100"/>
              <w:bottom w:type="dxa" w:w="80"/>
              <w:right w:type="dxa" w:w="100"/>
            </w:tcMar>
          </w:tcPr>
          <w:p>
            <w:r>
              <w:rPr>
                <w:b/>
                <w:bCs/>
                <w:color w:val="FFFFFF"/>
                <w:sz w:val="19"/>
                <w:szCs w:val="19"/>
              </w:rPr>
              <w:t xml:space="preserve">Gate</w:t>
            </w:r>
          </w:p>
        </w:tc>
        <w:tc>
          <w:tcPr>
            <w:tcW w:type="dxa" w:w="1500"/>
            <w:shd w:fill="1e3a5f" w:val="clear"/>
            <w:tcMar>
              <w:top w:type="dxa" w:w="80"/>
              <w:left w:type="dxa" w:w="100"/>
              <w:bottom w:type="dxa" w:w="80"/>
              <w:right w:type="dxa" w:w="100"/>
            </w:tcMar>
          </w:tcPr>
          <w:p>
            <w:r>
              <w:rPr>
                <w:b/>
                <w:bCs/>
                <w:color w:val="FFFFFF"/>
                <w:sz w:val="19"/>
                <w:szCs w:val="19"/>
              </w:rPr>
              <w:t xml:space="preserve">Parameters</w:t>
            </w:r>
          </w:p>
        </w:tc>
        <w:tc>
          <w:tcPr>
            <w:tcW w:type="dxa" w:w="2400"/>
            <w:shd w:fill="1e3a5f" w:val="clear"/>
            <w:tcMar>
              <w:top w:type="dxa" w:w="80"/>
              <w:left w:type="dxa" w:w="100"/>
              <w:bottom w:type="dxa" w:w="80"/>
              <w:right w:type="dxa" w:w="100"/>
            </w:tcMar>
          </w:tcPr>
          <w:p>
            <w:r>
              <w:rPr>
                <w:b/>
                <w:bCs/>
                <w:color w:val="FFFFFF"/>
                <w:sz w:val="19"/>
                <w:szCs w:val="19"/>
              </w:rPr>
              <w:t xml:space="preserve">Effect</w:t>
            </w:r>
          </w:p>
        </w:tc>
      </w:tr>
      <w:tr>
        <w:tc>
          <w:tcPr>
            <w:tcW w:type="dxa" w:w="2000"/>
            <w:tcMar>
              <w:top w:type="dxa" w:w="80"/>
              <w:left w:type="dxa" w:w="100"/>
              <w:bottom w:type="dxa" w:w="80"/>
              <w:right w:type="dxa" w:w="100"/>
            </w:tcMar>
          </w:tcPr>
          <w:p>
            <w:r>
              <w:rPr>
                <w:b w:val="false"/>
                <w:bCs w:val="false"/>
                <w:color w:val="000000"/>
                <w:sz w:val="19"/>
                <w:szCs w:val="19"/>
              </w:rPr>
              <w:t xml:space="preserve">kafka.scaleConsumers</w:t>
            </w:r>
          </w:p>
        </w:tc>
        <w:tc>
          <w:tcPr>
            <w:tcW w:type="dxa" w:w="2200"/>
            <w:tcMar>
              <w:top w:type="dxa" w:w="80"/>
              <w:left w:type="dxa" w:w="100"/>
              <w:bottom w:type="dxa" w:w="80"/>
              <w:right w:type="dxa" w:w="100"/>
            </w:tcMar>
          </w:tcPr>
          <w:p>
            <w:r>
              <w:rPr>
                <w:b w:val="false"/>
                <w:bCs w:val="false"/>
                <w:color w:val="000000"/>
                <w:sz w:val="19"/>
                <w:szCs w:val="19"/>
              </w:rPr>
              <w:t xml:space="preserve">Consumer lag &gt; SLO threshold (150 msg/s growth)</w:t>
            </w:r>
          </w:p>
        </w:tc>
        <w:tc>
          <w:tcPr>
            <w:tcW w:type="dxa" w:w="1000"/>
            <w:tcMar>
              <w:top w:type="dxa" w:w="80"/>
              <w:left w:type="dxa" w:w="100"/>
              <w:bottom w:type="dxa" w:w="80"/>
              <w:right w:type="dxa" w:w="100"/>
            </w:tcMar>
          </w:tcPr>
          <w:p>
            <w:r>
              <w:rPr>
                <w:b w:val="false"/>
                <w:bCs w:val="false"/>
                <w:color w:val="000000"/>
                <w:sz w:val="19"/>
                <w:szCs w:val="19"/>
              </w:rPr>
              <w:t xml:space="preserve">APPROVAL</w:t>
            </w:r>
          </w:p>
        </w:tc>
        <w:tc>
          <w:tcPr>
            <w:tcW w:type="dxa" w:w="1500"/>
            <w:tcMar>
              <w:top w:type="dxa" w:w="80"/>
              <w:left w:type="dxa" w:w="100"/>
              <w:bottom w:type="dxa" w:w="80"/>
              <w:right w:type="dxa" w:w="100"/>
            </w:tcMar>
          </w:tcPr>
          <w:p>
            <w:r>
              <w:rPr>
                <w:b w:val="false"/>
                <w:bCs w:val="false"/>
                <w:color w:val="000000"/>
                <w:sz w:val="19"/>
                <w:szCs w:val="19"/>
              </w:rPr>
              <w:t xml:space="preserve">group, delta, reason</w:t>
            </w:r>
          </w:p>
        </w:tc>
        <w:tc>
          <w:tcPr>
            <w:tcW w:type="dxa" w:w="2400"/>
            <w:tcMar>
              <w:top w:type="dxa" w:w="80"/>
              <w:left w:type="dxa" w:w="100"/>
              <w:bottom w:type="dxa" w:w="80"/>
              <w:right w:type="dxa" w:w="100"/>
            </w:tcMar>
          </w:tcPr>
          <w:p>
            <w:r>
              <w:rPr>
                <w:b w:val="false"/>
                <w:bCs w:val="false"/>
                <w:color w:val="000000"/>
                <w:sz w:val="19"/>
                <w:szCs w:val="19"/>
              </w:rPr>
              <w:t xml:space="preserve">Adds/removes consumer instances to drain backlog</w:t>
            </w:r>
          </w:p>
        </w:tc>
      </w:tr>
      <w:tr>
        <w:tc>
          <w:tcPr>
            <w:tcW w:type="dxa" w:w="2000"/>
            <w:tcMar>
              <w:top w:type="dxa" w:w="80"/>
              <w:left w:type="dxa" w:w="100"/>
              <w:bottom w:type="dxa" w:w="80"/>
              <w:right w:type="dxa" w:w="100"/>
            </w:tcMar>
          </w:tcPr>
          <w:p>
            <w:r>
              <w:rPr>
                <w:b w:val="false"/>
                <w:bCs w:val="false"/>
                <w:color w:val="000000"/>
                <w:sz w:val="19"/>
                <w:szCs w:val="19"/>
              </w:rPr>
              <w:t xml:space="preserve">kafka.acknowledgeFailover</w:t>
            </w:r>
          </w:p>
        </w:tc>
        <w:tc>
          <w:tcPr>
            <w:tcW w:type="dxa" w:w="2200"/>
            <w:tcMar>
              <w:top w:type="dxa" w:w="80"/>
              <w:left w:type="dxa" w:w="100"/>
              <w:bottom w:type="dxa" w:w="80"/>
              <w:right w:type="dxa" w:w="100"/>
            </w:tcMar>
          </w:tcPr>
          <w:p>
            <w:r>
              <w:rPr>
                <w:b w:val="false"/>
                <w:bCs w:val="false"/>
                <w:color w:val="000000"/>
                <w:sz w:val="19"/>
                <w:szCs w:val="19"/>
              </w:rPr>
              <w:t xml:space="preserve">KRaft controller epoch change detected</w:t>
            </w:r>
          </w:p>
        </w:tc>
        <w:tc>
          <w:tcPr>
            <w:tcW w:type="dxa" w:w="1000"/>
            <w:tcMar>
              <w:top w:type="dxa" w:w="80"/>
              <w:left w:type="dxa" w:w="100"/>
              <w:bottom w:type="dxa" w:w="80"/>
              <w:right w:type="dxa" w:w="100"/>
            </w:tcMar>
          </w:tcPr>
          <w:p>
            <w:r>
              <w:rPr>
                <w:b w:val="false"/>
                <w:bCs w:val="false"/>
                <w:color w:val="000000"/>
                <w:sz w:val="19"/>
                <w:szCs w:val="19"/>
              </w:rPr>
              <w:t xml:space="preserve">AUTO</w:t>
            </w:r>
          </w:p>
        </w:tc>
        <w:tc>
          <w:tcPr>
            <w:tcW w:type="dxa" w:w="1500"/>
            <w:tcMar>
              <w:top w:type="dxa" w:w="80"/>
              <w:left w:type="dxa" w:w="100"/>
              <w:bottom w:type="dxa" w:w="80"/>
              <w:right w:type="dxa" w:w="100"/>
            </w:tcMar>
          </w:tcPr>
          <w:p>
            <w:r>
              <w:rPr>
                <w:b w:val="false"/>
                <w:bCs w:val="false"/>
                <w:color w:val="000000"/>
                <w:sz w:val="19"/>
                <w:szCs w:val="19"/>
              </w:rPr>
              <w:t xml:space="preserve">newControllerId, epoch</w:t>
            </w:r>
          </w:p>
        </w:tc>
        <w:tc>
          <w:tcPr>
            <w:tcW w:type="dxa" w:w="2400"/>
            <w:tcMar>
              <w:top w:type="dxa" w:w="80"/>
              <w:left w:type="dxa" w:w="100"/>
              <w:bottom w:type="dxa" w:w="80"/>
              <w:right w:type="dxa" w:w="100"/>
            </w:tcMar>
          </w:tcPr>
          <w:p>
            <w:r>
              <w:rPr>
                <w:b w:val="false"/>
                <w:bCs w:val="false"/>
                <w:color w:val="000000"/>
                <w:sz w:val="19"/>
                <w:szCs w:val="19"/>
              </w:rPr>
              <w:t xml:space="preserve">Records controller failover, updates audit trail</w:t>
            </w:r>
          </w:p>
        </w:tc>
      </w:tr>
      <w:tr>
        <w:tc>
          <w:tcPr>
            <w:tcW w:type="dxa" w:w="2000"/>
            <w:tcMar>
              <w:top w:type="dxa" w:w="80"/>
              <w:left w:type="dxa" w:w="100"/>
              <w:bottom w:type="dxa" w:w="80"/>
              <w:right w:type="dxa" w:w="100"/>
            </w:tcMar>
          </w:tcPr>
          <w:p>
            <w:r>
              <w:rPr>
                <w:b w:val="false"/>
                <w:bCs w:val="false"/>
                <w:color w:val="000000"/>
                <w:sz w:val="19"/>
                <w:szCs w:val="19"/>
              </w:rPr>
              <w:t xml:space="preserve">kafka.acknowledgeShareGroupRebalance</w:t>
            </w:r>
          </w:p>
        </w:tc>
        <w:tc>
          <w:tcPr>
            <w:tcW w:type="dxa" w:w="2200"/>
            <w:tcMar>
              <w:top w:type="dxa" w:w="80"/>
              <w:left w:type="dxa" w:w="100"/>
              <w:bottom w:type="dxa" w:w="80"/>
              <w:right w:type="dxa" w:w="100"/>
            </w:tcMar>
          </w:tcPr>
          <w:p>
            <w:r>
              <w:rPr>
                <w:b w:val="false"/>
                <w:bCs w:val="false"/>
                <w:color w:val="000000"/>
                <w:sz w:val="19"/>
                <w:szCs w:val="19"/>
              </w:rPr>
              <w:t xml:space="preserve">KIP-932 share group queue depth &gt; 15,000</w:t>
            </w:r>
          </w:p>
        </w:tc>
        <w:tc>
          <w:tcPr>
            <w:tcW w:type="dxa" w:w="1000"/>
            <w:tcMar>
              <w:top w:type="dxa" w:w="80"/>
              <w:left w:type="dxa" w:w="100"/>
              <w:bottom w:type="dxa" w:w="80"/>
              <w:right w:type="dxa" w:w="100"/>
            </w:tcMar>
          </w:tcPr>
          <w:p>
            <w:r>
              <w:rPr>
                <w:b w:val="false"/>
                <w:bCs w:val="false"/>
                <w:color w:val="000000"/>
                <w:sz w:val="19"/>
                <w:szCs w:val="19"/>
              </w:rPr>
              <w:t xml:space="preserve">APPROVAL</w:t>
            </w:r>
          </w:p>
        </w:tc>
        <w:tc>
          <w:tcPr>
            <w:tcW w:type="dxa" w:w="1500"/>
            <w:tcMar>
              <w:top w:type="dxa" w:w="80"/>
              <w:left w:type="dxa" w:w="100"/>
              <w:bottom w:type="dxa" w:w="80"/>
              <w:right w:type="dxa" w:w="100"/>
            </w:tcMar>
          </w:tcPr>
          <w:p>
            <w:r>
              <w:rPr>
                <w:b w:val="false"/>
                <w:bCs w:val="false"/>
                <w:color w:val="000000"/>
                <w:sz w:val="19"/>
                <w:szCs w:val="19"/>
              </w:rPr>
              <w:t xml:space="preserve">groupId</w:t>
            </w:r>
          </w:p>
        </w:tc>
        <w:tc>
          <w:tcPr>
            <w:tcW w:type="dxa" w:w="2400"/>
            <w:tcMar>
              <w:top w:type="dxa" w:w="80"/>
              <w:left w:type="dxa" w:w="100"/>
              <w:bottom w:type="dxa" w:w="80"/>
              <w:right w:type="dxa" w:w="100"/>
            </w:tcMar>
          </w:tcPr>
          <w:p>
            <w:r>
              <w:rPr>
                <w:b w:val="false"/>
                <w:bCs w:val="false"/>
                <w:color w:val="000000"/>
                <w:sz w:val="19"/>
                <w:szCs w:val="19"/>
              </w:rPr>
              <w:t xml:space="preserve">Acknowledges the rebalance event only — no client-side mutation (KIP-932 delivery state is broker-managed)</w:t>
            </w:r>
          </w:p>
        </w:tc>
      </w:tr>
      <w:tr>
        <w:tc>
          <w:tcPr>
            <w:tcW w:type="dxa" w:w="2000"/>
            <w:tcMar>
              <w:top w:type="dxa" w:w="80"/>
              <w:left w:type="dxa" w:w="100"/>
              <w:bottom w:type="dxa" w:w="80"/>
              <w:right w:type="dxa" w:w="100"/>
            </w:tcMar>
          </w:tcPr>
          <w:p>
            <w:r>
              <w:rPr>
                <w:b w:val="false"/>
                <w:bCs w:val="false"/>
                <w:color w:val="000000"/>
                <w:sz w:val="19"/>
                <w:szCs w:val="19"/>
              </w:rPr>
              <w:t xml:space="preserve">kafka.updateSchemaCompatibility</w:t>
            </w:r>
          </w:p>
        </w:tc>
        <w:tc>
          <w:tcPr>
            <w:tcW w:type="dxa" w:w="2200"/>
            <w:tcMar>
              <w:top w:type="dxa" w:w="80"/>
              <w:left w:type="dxa" w:w="100"/>
              <w:bottom w:type="dxa" w:w="80"/>
              <w:right w:type="dxa" w:w="100"/>
            </w:tcMar>
          </w:tcPr>
          <w:p>
            <w:r>
              <w:rPr>
                <w:b w:val="false"/>
                <w:bCs w:val="false"/>
                <w:color w:val="000000"/>
                <w:sz w:val="19"/>
                <w:szCs w:val="19"/>
              </w:rPr>
              <w:t xml:space="preserve">Consumer deserialization exception rate spike</w:t>
            </w:r>
          </w:p>
        </w:tc>
        <w:tc>
          <w:tcPr>
            <w:tcW w:type="dxa" w:w="1000"/>
            <w:tcMar>
              <w:top w:type="dxa" w:w="80"/>
              <w:left w:type="dxa" w:w="100"/>
              <w:bottom w:type="dxa" w:w="80"/>
              <w:right w:type="dxa" w:w="100"/>
            </w:tcMar>
          </w:tcPr>
          <w:p>
            <w:r>
              <w:rPr>
                <w:b w:val="false"/>
                <w:bCs w:val="false"/>
                <w:color w:val="000000"/>
                <w:sz w:val="19"/>
                <w:szCs w:val="19"/>
              </w:rPr>
              <w:t xml:space="preserve">APPROVAL</w:t>
            </w:r>
          </w:p>
        </w:tc>
        <w:tc>
          <w:tcPr>
            <w:tcW w:type="dxa" w:w="1500"/>
            <w:tcMar>
              <w:top w:type="dxa" w:w="80"/>
              <w:left w:type="dxa" w:w="100"/>
              <w:bottom w:type="dxa" w:w="80"/>
              <w:right w:type="dxa" w:w="100"/>
            </w:tcMar>
          </w:tcPr>
          <w:p>
            <w:r>
              <w:rPr>
                <w:b w:val="false"/>
                <w:bCs w:val="false"/>
                <w:color w:val="000000"/>
                <w:sz w:val="19"/>
                <w:szCs w:val="19"/>
              </w:rPr>
              <w:t xml:space="preserve">subject, mode</w:t>
            </w:r>
          </w:p>
        </w:tc>
        <w:tc>
          <w:tcPr>
            <w:tcW w:type="dxa" w:w="2400"/>
            <w:tcMar>
              <w:top w:type="dxa" w:w="80"/>
              <w:left w:type="dxa" w:w="100"/>
              <w:bottom w:type="dxa" w:w="80"/>
              <w:right w:type="dxa" w:w="100"/>
            </w:tcMar>
          </w:tcPr>
          <w:p>
            <w:r>
              <w:rPr>
                <w:b w:val="false"/>
                <w:bCs w:val="false"/>
                <w:color w:val="000000"/>
                <w:sz w:val="19"/>
                <w:szCs w:val="19"/>
              </w:rPr>
              <w:t xml:space="preserve">Sets Schema Registry compatibility to BACKWARD_TRANSITIVE</w:t>
            </w:r>
          </w:p>
        </w:tc>
      </w:tr>
      <w:tr>
        <w:tc>
          <w:tcPr>
            <w:tcW w:type="dxa" w:w="2000"/>
            <w:tcMar>
              <w:top w:type="dxa" w:w="80"/>
              <w:left w:type="dxa" w:w="100"/>
              <w:bottom w:type="dxa" w:w="80"/>
              <w:right w:type="dxa" w:w="100"/>
            </w:tcMar>
          </w:tcPr>
          <w:p>
            <w:r>
              <w:rPr>
                <w:b w:val="false"/>
                <w:bCs w:val="false"/>
                <w:color w:val="000000"/>
                <w:sz w:val="19"/>
                <w:szCs w:val="19"/>
              </w:rPr>
              <w:t xml:space="preserve">kafka.suppressRebalancePage</w:t>
            </w:r>
          </w:p>
        </w:tc>
        <w:tc>
          <w:tcPr>
            <w:tcW w:type="dxa" w:w="2200"/>
            <w:tcMar>
              <w:top w:type="dxa" w:w="80"/>
              <w:left w:type="dxa" w:w="100"/>
              <w:bottom w:type="dxa" w:w="80"/>
              <w:right w:type="dxa" w:w="100"/>
            </w:tcMar>
          </w:tcPr>
          <w:p>
            <w:r>
              <w:rPr>
                <w:b w:val="false"/>
                <w:bCs w:val="false"/>
                <w:color w:val="000000"/>
                <w:sz w:val="19"/>
                <w:szCs w:val="19"/>
              </w:rPr>
              <w:t xml:space="preserve">Rebalance classified as benign</w:t>
            </w:r>
          </w:p>
        </w:tc>
        <w:tc>
          <w:tcPr>
            <w:tcW w:type="dxa" w:w="1000"/>
            <w:tcMar>
              <w:top w:type="dxa" w:w="80"/>
              <w:left w:type="dxa" w:w="100"/>
              <w:bottom w:type="dxa" w:w="80"/>
              <w:right w:type="dxa" w:w="100"/>
            </w:tcMar>
          </w:tcPr>
          <w:p>
            <w:r>
              <w:rPr>
                <w:b w:val="false"/>
                <w:bCs w:val="false"/>
                <w:color w:val="000000"/>
                <w:sz w:val="19"/>
                <w:szCs w:val="19"/>
              </w:rPr>
              <w:t xml:space="preserve">AUTO</w:t>
            </w:r>
          </w:p>
        </w:tc>
        <w:tc>
          <w:tcPr>
            <w:tcW w:type="dxa" w:w="1500"/>
            <w:tcMar>
              <w:top w:type="dxa" w:w="80"/>
              <w:left w:type="dxa" w:w="100"/>
              <w:bottom w:type="dxa" w:w="80"/>
              <w:right w:type="dxa" w:w="100"/>
            </w:tcMar>
          </w:tcPr>
          <w:p>
            <w:r>
              <w:rPr>
                <w:b w:val="false"/>
                <w:bCs w:val="false"/>
                <w:color w:val="000000"/>
                <w:sz w:val="19"/>
                <w:szCs w:val="19"/>
              </w:rPr>
              <w:t xml:space="preserve">groupId, reason</w:t>
            </w:r>
          </w:p>
        </w:tc>
        <w:tc>
          <w:tcPr>
            <w:tcW w:type="dxa" w:w="2400"/>
            <w:tcMar>
              <w:top w:type="dxa" w:w="80"/>
              <w:left w:type="dxa" w:w="100"/>
              <w:bottom w:type="dxa" w:w="80"/>
              <w:right w:type="dxa" w:w="100"/>
            </w:tcMar>
          </w:tcPr>
          <w:p>
            <w:r>
              <w:rPr>
                <w:b w:val="false"/>
                <w:bCs w:val="false"/>
                <w:color w:val="000000"/>
                <w:sz w:val="19"/>
                <w:szCs w:val="19"/>
              </w:rPr>
              <w:t xml:space="preserve">Suppresses alert, no cluster mutation</w:t>
            </w:r>
          </w:p>
        </w:tc>
      </w:tr>
    </w:tbl>
    <w:p>
      <w:pPr>
        <w:pStyle w:val="Heading2"/>
        <w:spacing w:after="150" w:before="300"/>
      </w:pPr>
      <w:r>
        <w:t xml:space="preserve">4.2 Topic-Level Auto-Heal Tools</w:t>
      </w:r>
    </w:p>
    <w:p>
      <w:pPr>
        <w:spacing w:after="150"/>
      </w:pPr>
      <w:r>
        <w:t xml:space="preserve">When the anomaly simulator detects a topic crossing degraded (lag &gt; 2,800) or critical (lag &gt; 8,000) thresholds, it emits an auto-topic-heal bus event. The SSE client calls runTopicHeal(), which executes a full MRAL mini-cycle scoped to that topic.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200"/>
        <w:gridCol w:w="2300"/>
      </w:tblGrid>
      <w:tr>
        <w:trPr>
          <w:tblHeader/>
        </w:trPr>
        <w:tc>
          <w:tcPr>
            <w:tcW w:type="dxa" w:w="2000"/>
            <w:shd w:fill="1e3a5f" w:val="clear"/>
            <w:tcMar>
              <w:top w:type="dxa" w:w="80"/>
              <w:left w:type="dxa" w:w="100"/>
              <w:bottom w:type="dxa" w:w="80"/>
              <w:right w:type="dxa" w:w="100"/>
            </w:tcMar>
          </w:tcPr>
          <w:p>
            <w:r>
              <w:rPr>
                <w:b/>
                <w:bCs/>
                <w:color w:val="FFFFFF"/>
                <w:sz w:val="19"/>
                <w:szCs w:val="19"/>
              </w:rPr>
              <w:t xml:space="preserve">Severity</w:t>
            </w:r>
          </w:p>
        </w:tc>
        <w:tc>
          <w:tcPr>
            <w:tcW w:type="dxa" w:w="3600"/>
            <w:shd w:fill="1e3a5f" w:val="clear"/>
            <w:tcMar>
              <w:top w:type="dxa" w:w="80"/>
              <w:left w:type="dxa" w:w="100"/>
              <w:bottom w:type="dxa" w:w="80"/>
              <w:right w:type="dxa" w:w="100"/>
            </w:tcMar>
          </w:tcPr>
          <w:p>
            <w:r>
              <w:rPr>
                <w:b/>
                <w:bCs/>
                <w:color w:val="FFFFFF"/>
                <w:sz w:val="19"/>
                <w:szCs w:val="19"/>
              </w:rPr>
              <w:t xml:space="preserve">Tool Call</w:t>
            </w:r>
          </w:p>
        </w:tc>
        <w:tc>
          <w:tcPr>
            <w:tcW w:type="dxa" w:w="1200"/>
            <w:shd w:fill="1e3a5f" w:val="clear"/>
            <w:tcMar>
              <w:top w:type="dxa" w:w="80"/>
              <w:left w:type="dxa" w:w="100"/>
              <w:bottom w:type="dxa" w:w="80"/>
              <w:right w:type="dxa" w:w="100"/>
            </w:tcMar>
          </w:tcPr>
          <w:p>
            <w:r>
              <w:rPr>
                <w:b/>
                <w:bCs/>
                <w:color w:val="FFFFFF"/>
                <w:sz w:val="19"/>
                <w:szCs w:val="19"/>
              </w:rPr>
              <w:t xml:space="preserve">Gate</w:t>
            </w:r>
          </w:p>
        </w:tc>
        <w:tc>
          <w:tcPr>
            <w:tcW w:type="dxa" w:w="2300"/>
            <w:shd w:fill="1e3a5f" w:val="clear"/>
            <w:tcMar>
              <w:top w:type="dxa" w:w="80"/>
              <w:left w:type="dxa" w:w="100"/>
              <w:bottom w:type="dxa" w:w="80"/>
              <w:right w:type="dxa" w:w="100"/>
            </w:tcMar>
          </w:tcPr>
          <w:p>
            <w:r>
              <w:rPr>
                <w:b/>
                <w:bCs/>
                <w:color w:val="FFFFFF"/>
                <w:sz w:val="19"/>
                <w:szCs w:val="19"/>
              </w:rPr>
              <w:t xml:space="preserve">Action</w:t>
            </w:r>
          </w:p>
        </w:tc>
      </w:tr>
      <w:tr>
        <w:tc>
          <w:tcPr>
            <w:tcW w:type="dxa" w:w="2000"/>
            <w:tcMar>
              <w:top w:type="dxa" w:w="80"/>
              <w:left w:type="dxa" w:w="100"/>
              <w:bottom w:type="dxa" w:w="80"/>
              <w:right w:type="dxa" w:w="100"/>
            </w:tcMar>
          </w:tcPr>
          <w:p>
            <w:r>
              <w:rPr>
                <w:b w:val="false"/>
                <w:bCs w:val="false"/>
                <w:color w:val="000000"/>
                <w:sz w:val="19"/>
                <w:szCs w:val="19"/>
              </w:rPr>
              <w:t xml:space="preserve">DEGRADED (lag &gt; 2,800)</w:t>
            </w:r>
          </w:p>
        </w:tc>
        <w:tc>
          <w:tcPr>
            <w:tcW w:type="dxa" w:w="3600"/>
            <w:tcMar>
              <w:top w:type="dxa" w:w="80"/>
              <w:left w:type="dxa" w:w="100"/>
              <w:bottom w:type="dxa" w:w="80"/>
              <w:right w:type="dxa" w:w="100"/>
            </w:tcMar>
          </w:tcPr>
          <w:p>
            <w:r>
              <w:rPr>
                <w:b w:val="false"/>
                <w:bCs w:val="false"/>
                <w:color w:val="000000"/>
                <w:sz w:val="19"/>
                <w:szCs w:val="19"/>
              </w:rPr>
              <w:t xml:space="preserve">kafka.scaleConsumers(topic, delta=+floor(partitions/4))</w:t>
            </w:r>
          </w:p>
        </w:tc>
        <w:tc>
          <w:tcPr>
            <w:tcW w:type="dxa" w:w="1200"/>
            <w:tcMar>
              <w:top w:type="dxa" w:w="80"/>
              <w:left w:type="dxa" w:w="100"/>
              <w:bottom w:type="dxa" w:w="80"/>
              <w:right w:type="dxa" w:w="100"/>
            </w:tcMar>
          </w:tcPr>
          <w:p>
            <w:r>
              <w:rPr>
                <w:b w:val="false"/>
                <w:bCs w:val="false"/>
                <w:color w:val="000000"/>
                <w:sz w:val="19"/>
                <w:szCs w:val="19"/>
              </w:rPr>
              <w:t xml:space="preserve">AUTO</w:t>
            </w:r>
          </w:p>
        </w:tc>
        <w:tc>
          <w:tcPr>
            <w:tcW w:type="dxa" w:w="2300"/>
            <w:tcMar>
              <w:top w:type="dxa" w:w="80"/>
              <w:left w:type="dxa" w:w="100"/>
              <w:bottom w:type="dxa" w:w="80"/>
              <w:right w:type="dxa" w:w="100"/>
            </w:tcMar>
          </w:tcPr>
          <w:p>
            <w:r>
              <w:rPr>
                <w:b w:val="false"/>
                <w:bCs w:val="false"/>
                <w:color w:val="000000"/>
                <w:sz w:val="19"/>
                <w:szCs w:val="19"/>
              </w:rPr>
              <w:t xml:space="preserve">Additive consumer scaling, non-disruptive, reversible</w:t>
            </w:r>
          </w:p>
        </w:tc>
      </w:tr>
      <w:tr>
        <w:tc>
          <w:tcPr>
            <w:tcW w:type="dxa" w:w="2000"/>
            <w:tcMar>
              <w:top w:type="dxa" w:w="80"/>
              <w:left w:type="dxa" w:w="100"/>
              <w:bottom w:type="dxa" w:w="80"/>
              <w:right w:type="dxa" w:w="100"/>
            </w:tcMar>
          </w:tcPr>
          <w:p>
            <w:r>
              <w:rPr>
                <w:b w:val="false"/>
                <w:bCs w:val="false"/>
                <w:color w:val="000000"/>
                <w:sz w:val="19"/>
                <w:szCs w:val="19"/>
              </w:rPr>
              <w:t xml:space="preserve">CRITICAL (lag &gt; 8,000)</w:t>
            </w:r>
          </w:p>
        </w:tc>
        <w:tc>
          <w:tcPr>
            <w:tcW w:type="dxa" w:w="3600"/>
            <w:tcMar>
              <w:top w:type="dxa" w:w="80"/>
              <w:left w:type="dxa" w:w="100"/>
              <w:bottom w:type="dxa" w:w="80"/>
              <w:right w:type="dxa" w:w="100"/>
            </w:tcMar>
          </w:tcPr>
          <w:p>
            <w:r>
              <w:rPr>
                <w:b w:val="false"/>
                <w:bCs w:val="false"/>
                <w:color w:val="000000"/>
                <w:sz w:val="19"/>
                <w:szCs w:val="19"/>
              </w:rPr>
              <w:t xml:space="preserve">kafka.restartConsumerGroup + kafka.scaleReplicas(delta=+2)</w:t>
            </w:r>
          </w:p>
        </w:tc>
        <w:tc>
          <w:tcPr>
            <w:tcW w:type="dxa" w:w="1200"/>
            <w:tcMar>
              <w:top w:type="dxa" w:w="80"/>
              <w:left w:type="dxa" w:w="100"/>
              <w:bottom w:type="dxa" w:w="80"/>
              <w:right w:type="dxa" w:w="100"/>
            </w:tcMar>
          </w:tcPr>
          <w:p>
            <w:r>
              <w:rPr>
                <w:b w:val="false"/>
                <w:bCs w:val="false"/>
                <w:color w:val="000000"/>
                <w:sz w:val="19"/>
                <w:szCs w:val="19"/>
              </w:rPr>
              <w:t xml:space="preserve">APPROVAL</w:t>
            </w:r>
          </w:p>
        </w:tc>
        <w:tc>
          <w:tcPr>
            <w:tcW w:type="dxa" w:w="2300"/>
            <w:tcMar>
              <w:top w:type="dxa" w:w="80"/>
              <w:left w:type="dxa" w:w="100"/>
              <w:bottom w:type="dxa" w:w="80"/>
              <w:right w:type="dxa" w:w="100"/>
            </w:tcMar>
          </w:tcPr>
          <w:p>
            <w:r>
              <w:rPr>
                <w:b w:val="false"/>
                <w:bCs w:val="false"/>
                <w:color w:val="000000"/>
                <w:sz w:val="19"/>
                <w:szCs w:val="19"/>
              </w:rPr>
              <w:t xml:space="preserve">Restart dead replica, add capacity. Gate because restart causes brief rebalance</w:t>
            </w:r>
          </w:p>
        </w:tc>
      </w:tr>
    </w:tbl>
    <w:p>
      <w:pPr>
        <w:sectPr>
          <w:footerReference w:type="default" r:id="rId11"/>
          <w:pgSz w:w="12240" w:h="15840" w:orient="portrait"/>
          <w:pgMar w:top="1440" w:right="1440" w:bottom="1440" w:left="1440" w:header="708" w:footer="708" w:gutter="0"/>
          <w:pgNumType/>
          <w:titlePg w:val="false"/>
          <w:docGrid w:linePitch="360"/>
        </w:sectPr>
      </w:pPr>
    </w:p>
    <w:p>
      <w:pPr>
        <w:pStyle w:val="Heading1"/>
        <w:spacing w:after="200" w:before="400"/>
      </w:pPr>
      <w:r>
        <w:t xml:space="preserve">5. Root Cause Analysis — Cluster Level</w:t>
      </w:r>
    </w:p>
    <w:p>
      <w:pPr>
        <w:pStyle w:val="Heading2"/>
        <w:spacing w:after="150" w:before="300"/>
      </w:pPr>
      <w:r>
        <w:t xml:space="preserve">5.1 Consumer Lag Spike (KIP-848)</w:t>
      </w:r>
    </w:p>
    <w:p>
      <w:pPr>
        <w:spacing w:after="150"/>
      </w:pPr>
      <w:r>
        <w:t xml:space="preserve">Detection signals: consumer group lag across partitions exceeds SLO threshold (150 msg/s growth rate sustained for &gt;2 poll cycles). Cross-correlated with JVM heap, network I/O, and active rebalance state.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900"/>
      </w:tblGrid>
      <w:tr>
        <w:trPr>
          <w:tblHeader/>
        </w:trPr>
        <w:tc>
          <w:tcPr>
            <w:tcW w:type="dxa" w:w="400"/>
            <w:shd w:fill="1e3a5f" w:val="clear"/>
            <w:tcMar>
              <w:top w:type="dxa" w:w="80"/>
              <w:left w:type="dxa" w:w="100"/>
              <w:bottom w:type="dxa" w:w="80"/>
              <w:right w:type="dxa" w:w="100"/>
            </w:tcMar>
          </w:tcPr>
          <w:p>
            <w:r>
              <w:rPr>
                <w:b/>
                <w:bCs/>
                <w:color w:val="FFFFFF"/>
                <w:sz w:val="19"/>
                <w:szCs w:val="19"/>
              </w:rPr>
              <w:t xml:space="preserve">#</w:t>
            </w:r>
          </w:p>
        </w:tc>
        <w:tc>
          <w:tcPr>
            <w:tcW w:type="dxa" w:w="2800"/>
            <w:shd w:fill="1e3a5f" w:val="clear"/>
            <w:tcMar>
              <w:top w:type="dxa" w:w="80"/>
              <w:left w:type="dxa" w:w="100"/>
              <w:bottom w:type="dxa" w:w="80"/>
              <w:right w:type="dxa" w:w="100"/>
            </w:tcMar>
          </w:tcPr>
          <w:p>
            <w:r>
              <w:rPr>
                <w:b/>
                <w:bCs/>
                <w:color w:val="FFFFFF"/>
                <w:sz w:val="19"/>
                <w:szCs w:val="19"/>
              </w:rPr>
              <w:t xml:space="preserve">Root Cause Candidate</w:t>
            </w:r>
          </w:p>
        </w:tc>
        <w:tc>
          <w:tcPr>
            <w:tcW w:type="dxa" w:w="3000"/>
            <w:shd w:fill="1e3a5f" w:val="clear"/>
            <w:tcMar>
              <w:top w:type="dxa" w:w="80"/>
              <w:left w:type="dxa" w:w="100"/>
              <w:bottom w:type="dxa" w:w="80"/>
              <w:right w:type="dxa" w:w="100"/>
            </w:tcMar>
          </w:tcPr>
          <w:p>
            <w:r>
              <w:rPr>
                <w:b/>
                <w:bCs/>
                <w:color w:val="FFFFFF"/>
                <w:sz w:val="19"/>
                <w:szCs w:val="19"/>
              </w:rPr>
              <w:t xml:space="preserve">Identification Signal</w:t>
            </w:r>
          </w:p>
        </w:tc>
        <w:tc>
          <w:tcPr>
            <w:tcW w:type="dxa" w:w="1900"/>
            <w:shd w:fill="1e3a5f" w:val="clear"/>
            <w:tcMar>
              <w:top w:type="dxa" w:w="80"/>
              <w:left w:type="dxa" w:w="100"/>
              <w:bottom w:type="dxa" w:w="80"/>
              <w:right w:type="dxa" w:w="100"/>
            </w:tcMar>
          </w:tcPr>
          <w:p>
            <w:r>
              <w:rPr>
                <w:b/>
                <w:bCs/>
                <w:color w:val="FFFFFF"/>
                <w:sz w:val="19"/>
                <w:szCs w:val="19"/>
              </w:rPr>
              <w:t xml:space="preserve">Confidence</w:t>
            </w:r>
          </w:p>
        </w:tc>
      </w:tr>
      <w:tr>
        <w:tc>
          <w:tcPr>
            <w:tcW w:type="dxa" w:w="400"/>
            <w:tcMar>
              <w:top w:type="dxa" w:w="80"/>
              <w:left w:type="dxa" w:w="100"/>
              <w:bottom w:type="dxa" w:w="80"/>
              <w:right w:type="dxa" w:w="100"/>
            </w:tcMar>
          </w:tcPr>
          <w:p>
            <w:r>
              <w:rPr>
                <w:b w:val="false"/>
                <w:bCs w:val="false"/>
                <w:color w:val="000000"/>
                <w:sz w:val="19"/>
                <w:szCs w:val="19"/>
              </w:rPr>
              <w:t xml:space="preserve">1</w:t>
            </w:r>
          </w:p>
        </w:tc>
        <w:tc>
          <w:tcPr>
            <w:tcW w:type="dxa" w:w="2800"/>
            <w:tcMar>
              <w:top w:type="dxa" w:w="80"/>
              <w:left w:type="dxa" w:w="100"/>
              <w:bottom w:type="dxa" w:w="80"/>
              <w:right w:type="dxa" w:w="100"/>
            </w:tcMar>
          </w:tcPr>
          <w:p>
            <w:r>
              <w:rPr>
                <w:b w:val="false"/>
                <w:bCs w:val="false"/>
                <w:color w:val="000000"/>
                <w:sz w:val="19"/>
                <w:szCs w:val="19"/>
              </w:rPr>
              <w:t xml:space="preserve">Consumer processing bottleneck — downstream DB or API stalling consumer thread pool</w:t>
            </w:r>
          </w:p>
        </w:tc>
        <w:tc>
          <w:tcPr>
            <w:tcW w:type="dxa" w:w="3000"/>
            <w:tcMar>
              <w:top w:type="dxa" w:w="80"/>
              <w:left w:type="dxa" w:w="100"/>
              <w:bottom w:type="dxa" w:w="80"/>
              <w:right w:type="dxa" w:w="100"/>
            </w:tcMar>
          </w:tcPr>
          <w:p>
            <w:r>
              <w:rPr>
                <w:b w:val="false"/>
                <w:bCs w:val="false"/>
                <w:color w:val="000000"/>
                <w:sz w:val="19"/>
                <w:szCs w:val="19"/>
              </w:rPr>
              <w:t xml:space="preserve">Lag growth without matching network I/O increase on broker side</w:t>
            </w:r>
          </w:p>
        </w:tc>
        <w:tc>
          <w:tcPr>
            <w:tcW w:type="dxa" w:w="1900"/>
            <w:tcMar>
              <w:top w:type="dxa" w:w="80"/>
              <w:left w:type="dxa" w:w="100"/>
              <w:bottom w:type="dxa" w:w="80"/>
              <w:right w:type="dxa" w:w="100"/>
            </w:tcMar>
          </w:tcPr>
          <w:p>
            <w:r>
              <w:rPr>
                <w:b w:val="false"/>
                <w:bCs w:val="false"/>
                <w:color w:val="000000"/>
                <w:sz w:val="19"/>
                <w:szCs w:val="19"/>
              </w:rPr>
              <w:t xml:space="preserve">High (0.88–0.95)</w:t>
            </w:r>
          </w:p>
        </w:tc>
      </w:tr>
      <w:tr>
        <w:tc>
          <w:tcPr>
            <w:tcW w:type="dxa" w:w="400"/>
            <w:tcMar>
              <w:top w:type="dxa" w:w="80"/>
              <w:left w:type="dxa" w:w="100"/>
              <w:bottom w:type="dxa" w:w="80"/>
              <w:right w:type="dxa" w:w="100"/>
            </w:tcMar>
          </w:tcPr>
          <w:p>
            <w:r>
              <w:rPr>
                <w:b w:val="false"/>
                <w:bCs w:val="false"/>
                <w:color w:val="000000"/>
                <w:sz w:val="19"/>
                <w:szCs w:val="19"/>
              </w:rPr>
              <w:t xml:space="preserve">2</w:t>
            </w:r>
          </w:p>
        </w:tc>
        <w:tc>
          <w:tcPr>
            <w:tcW w:type="dxa" w:w="2800"/>
            <w:tcMar>
              <w:top w:type="dxa" w:w="80"/>
              <w:left w:type="dxa" w:w="100"/>
              <w:bottom w:type="dxa" w:w="80"/>
              <w:right w:type="dxa" w:w="100"/>
            </w:tcMar>
          </w:tcPr>
          <w:p>
            <w:r>
              <w:rPr>
                <w:b w:val="false"/>
                <w:bCs w:val="false"/>
                <w:color w:val="000000"/>
                <w:sz w:val="19"/>
                <w:szCs w:val="19"/>
              </w:rPr>
              <w:t xml:space="preserve">Producer burst — sudden write-rate spike exceeding consumer throughput</w:t>
            </w:r>
          </w:p>
        </w:tc>
        <w:tc>
          <w:tcPr>
            <w:tcW w:type="dxa" w:w="3000"/>
            <w:tcMar>
              <w:top w:type="dxa" w:w="80"/>
              <w:left w:type="dxa" w:w="100"/>
              <w:bottom w:type="dxa" w:w="80"/>
              <w:right w:type="dxa" w:w="100"/>
            </w:tcMar>
          </w:tcPr>
          <w:p>
            <w:r>
              <w:rPr>
                <w:b w:val="false"/>
                <w:bCs w:val="false"/>
                <w:color w:val="000000"/>
                <w:sz w:val="19"/>
                <w:szCs w:val="19"/>
              </w:rPr>
              <w:t xml:space="preserve">Network-in spike on brokers with stable consumer thread metrics</w:t>
            </w:r>
          </w:p>
        </w:tc>
        <w:tc>
          <w:tcPr>
            <w:tcW w:type="dxa" w:w="1900"/>
            <w:tcMar>
              <w:top w:type="dxa" w:w="80"/>
              <w:left w:type="dxa" w:w="100"/>
              <w:bottom w:type="dxa" w:w="80"/>
              <w:right w:type="dxa" w:w="100"/>
            </w:tcMar>
          </w:tcPr>
          <w:p>
            <w:r>
              <w:rPr>
                <w:b w:val="false"/>
                <w:bCs w:val="false"/>
                <w:color w:val="000000"/>
                <w:sz w:val="19"/>
                <w:szCs w:val="19"/>
              </w:rPr>
              <w:t xml:space="preserve">Medium (0.72–0.85)</w:t>
            </w:r>
          </w:p>
        </w:tc>
      </w:tr>
      <w:tr>
        <w:tc>
          <w:tcPr>
            <w:tcW w:type="dxa" w:w="400"/>
            <w:tcMar>
              <w:top w:type="dxa" w:w="80"/>
              <w:left w:type="dxa" w:w="100"/>
              <w:bottom w:type="dxa" w:w="80"/>
              <w:right w:type="dxa" w:w="100"/>
            </w:tcMar>
          </w:tcPr>
          <w:p>
            <w:r>
              <w:rPr>
                <w:b w:val="false"/>
                <w:bCs w:val="false"/>
                <w:color w:val="000000"/>
                <w:sz w:val="19"/>
                <w:szCs w:val="19"/>
              </w:rPr>
              <w:t xml:space="preserve">3</w:t>
            </w:r>
          </w:p>
        </w:tc>
        <w:tc>
          <w:tcPr>
            <w:tcW w:type="dxa" w:w="2800"/>
            <w:tcMar>
              <w:top w:type="dxa" w:w="80"/>
              <w:left w:type="dxa" w:w="100"/>
              <w:bottom w:type="dxa" w:w="80"/>
              <w:right w:type="dxa" w:w="100"/>
            </w:tcMar>
          </w:tcPr>
          <w:p>
            <w:r>
              <w:rPr>
                <w:b w:val="false"/>
                <w:bCs w:val="false"/>
                <w:color w:val="000000"/>
                <w:sz w:val="19"/>
                <w:szCs w:val="19"/>
              </w:rPr>
              <w:t xml:space="preserve">Network partition affecting consumer group</w:t>
            </w:r>
          </w:p>
        </w:tc>
        <w:tc>
          <w:tcPr>
            <w:tcW w:type="dxa" w:w="3000"/>
            <w:tcMar>
              <w:top w:type="dxa" w:w="80"/>
              <w:left w:type="dxa" w:w="100"/>
              <w:bottom w:type="dxa" w:w="80"/>
              <w:right w:type="dxa" w:w="100"/>
            </w:tcMar>
          </w:tcPr>
          <w:p>
            <w:r>
              <w:rPr>
                <w:b w:val="false"/>
                <w:bCs w:val="false"/>
                <w:color w:val="000000"/>
                <w:sz w:val="19"/>
                <w:szCs w:val="19"/>
              </w:rPr>
              <w:t xml:space="preserve">Selective partition lag; elevated rebalance flag</w:t>
            </w:r>
          </w:p>
        </w:tc>
        <w:tc>
          <w:tcPr>
            <w:tcW w:type="dxa" w:w="1900"/>
            <w:tcMar>
              <w:top w:type="dxa" w:w="80"/>
              <w:left w:type="dxa" w:w="100"/>
              <w:bottom w:type="dxa" w:w="80"/>
              <w:right w:type="dxa" w:w="100"/>
            </w:tcMar>
          </w:tcPr>
          <w:p>
            <w:r>
              <w:rPr>
                <w:b w:val="false"/>
                <w:bCs w:val="false"/>
                <w:color w:val="000000"/>
                <w:sz w:val="19"/>
                <w:szCs w:val="19"/>
              </w:rPr>
              <w:t xml:space="preserve">Medium (0.65–0.78)</w:t>
            </w:r>
          </w:p>
        </w:tc>
      </w:tr>
      <w:tr>
        <w:tc>
          <w:tcPr>
            <w:tcW w:type="dxa" w:w="400"/>
            <w:tcMar>
              <w:top w:type="dxa" w:w="80"/>
              <w:left w:type="dxa" w:w="100"/>
              <w:bottom w:type="dxa" w:w="80"/>
              <w:right w:type="dxa" w:w="100"/>
            </w:tcMar>
          </w:tcPr>
          <w:p>
            <w:r>
              <w:rPr>
                <w:b w:val="false"/>
                <w:bCs w:val="false"/>
                <w:color w:val="000000"/>
                <w:sz w:val="19"/>
                <w:szCs w:val="19"/>
              </w:rPr>
              <w:t xml:space="preserve">4</w:t>
            </w:r>
          </w:p>
        </w:tc>
        <w:tc>
          <w:tcPr>
            <w:tcW w:type="dxa" w:w="2800"/>
            <w:tcMar>
              <w:top w:type="dxa" w:w="80"/>
              <w:left w:type="dxa" w:w="100"/>
              <w:bottom w:type="dxa" w:w="80"/>
              <w:right w:type="dxa" w:w="100"/>
            </w:tcMar>
          </w:tcPr>
          <w:p>
            <w:r>
              <w:rPr>
                <w:b w:val="false"/>
                <w:bCs w:val="false"/>
                <w:color w:val="000000"/>
                <w:sz w:val="19"/>
                <w:szCs w:val="19"/>
              </w:rPr>
              <w:t xml:space="preserve">Rebalance storm — session timeouts cascading, starving processing time</w:t>
            </w:r>
          </w:p>
        </w:tc>
        <w:tc>
          <w:tcPr>
            <w:tcW w:type="dxa" w:w="3000"/>
            <w:tcMar>
              <w:top w:type="dxa" w:w="80"/>
              <w:left w:type="dxa" w:w="100"/>
              <w:bottom w:type="dxa" w:w="80"/>
              <w:right w:type="dxa" w:w="100"/>
            </w:tcMar>
          </w:tcPr>
          <w:p>
            <w:r>
              <w:rPr>
                <w:b w:val="false"/>
                <w:bCs w:val="false"/>
                <w:color w:val="000000"/>
                <w:sz w:val="19"/>
                <w:szCs w:val="19"/>
              </w:rPr>
              <w:t xml:space="preserve">ControllerEpoch changes correlated with lag growth pattern</w:t>
            </w:r>
          </w:p>
        </w:tc>
        <w:tc>
          <w:tcPr>
            <w:tcW w:type="dxa" w:w="1900"/>
            <w:tcMar>
              <w:top w:type="dxa" w:w="80"/>
              <w:left w:type="dxa" w:w="100"/>
              <w:bottom w:type="dxa" w:w="80"/>
              <w:right w:type="dxa" w:w="100"/>
            </w:tcMar>
          </w:tcPr>
          <w:p>
            <w:r>
              <w:rPr>
                <w:b w:val="false"/>
                <w:bCs w:val="false"/>
                <w:color w:val="000000"/>
                <w:sz w:val="19"/>
                <w:szCs w:val="19"/>
              </w:rPr>
              <w:t xml:space="preserve">Lower (0.55–0.70)</w:t>
            </w:r>
          </w:p>
        </w:tc>
      </w:tr>
    </w:tbl>
    <w:p>
      <w:pPr>
        <w:pStyle w:val="Heading2"/>
        <w:spacing w:after="150" w:before="300"/>
      </w:pPr>
      <w:r>
        <w:t xml:space="preserve">5.2 KRaft Controller Failover</w:t>
      </w:r>
    </w:p>
    <w:p>
      <w:pPr>
        <w:spacing w:after="150"/>
      </w:pPr>
      <w:r>
        <w:t xml:space="preserve">Detection: controller epoch change in cluster metadata; previous controller no longer responding to heartbeats. Root cause: KRaft controller process terminated due to broker restart, JVM OOM, or underlying host failure. In KRaft mode (no ZooKeeper), election is handled internally via the Raft log across the 3-controller quorum. MCP action: kafka.acknowledgeFailover — no mutation, pure acknowledgement, auto-approved.</w:t>
      </w:r>
    </w:p>
    <w:p>
      <w:pPr>
        <w:spacing w:after="150"/>
      </w:pPr>
      <w:r>
        <w:rPr>
          <w:i/>
          <w:iCs/>
        </w:rPr>
        <w:t xml:space="preserve">This exact condition has been confirmed live against the current DigitalOcean cluster: an observed controller epoch change (1→2) was correctly detected at 0.97 confidence and auto-remediated with no approval gate.</w:t>
      </w:r>
    </w:p>
    <w:p>
      <w:pPr>
        <w:pStyle w:val="Heading2"/>
        <w:spacing w:after="150" w:before="300"/>
      </w:pPr>
      <w:r>
        <w:t xml:space="preserve">5.3 Under-Replicated Partitions (ISR Shrinkage)</w:t>
      </w:r>
    </w:p>
    <w:p>
      <w:pPr>
        <w:spacing w:after="150"/>
      </w:pPr>
      <w:r>
        <w:t xml:space="preserve">Detection: ISR count for one or more partitions falls below replication factor (RF=3 → ISR=1 or ISR=2).</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3500"/>
      </w:tblGrid>
      <w:tr>
        <w:trPr>
          <w:tblHeader/>
        </w:trPr>
        <w:tc>
          <w:tcPr>
            <w:tcW w:type="dxa" w:w="400"/>
            <w:shd w:fill="1e3a5f" w:val="clear"/>
            <w:tcMar>
              <w:top w:type="dxa" w:w="80"/>
              <w:left w:type="dxa" w:w="100"/>
              <w:bottom w:type="dxa" w:w="80"/>
              <w:right w:type="dxa" w:w="100"/>
            </w:tcMar>
          </w:tcPr>
          <w:p>
            <w:r>
              <w:rPr>
                <w:b/>
                <w:bCs/>
                <w:color w:val="FFFFFF"/>
                <w:sz w:val="19"/>
                <w:szCs w:val="19"/>
              </w:rPr>
              <w:t xml:space="preserve">#</w:t>
            </w:r>
          </w:p>
        </w:tc>
        <w:tc>
          <w:tcPr>
            <w:tcW w:type="dxa" w:w="4200"/>
            <w:shd w:fill="1e3a5f" w:val="clear"/>
            <w:tcMar>
              <w:top w:type="dxa" w:w="80"/>
              <w:left w:type="dxa" w:w="100"/>
              <w:bottom w:type="dxa" w:w="80"/>
              <w:right w:type="dxa" w:w="100"/>
            </w:tcMar>
          </w:tcPr>
          <w:p>
            <w:r>
              <w:rPr>
                <w:b/>
                <w:bCs/>
                <w:color w:val="FFFFFF"/>
                <w:sz w:val="19"/>
                <w:szCs w:val="19"/>
              </w:rPr>
              <w:t xml:space="preserve">Root Cause</w:t>
            </w:r>
          </w:p>
        </w:tc>
        <w:tc>
          <w:tcPr>
            <w:tcW w:type="dxa" w:w="3500"/>
            <w:shd w:fill="1e3a5f" w:val="clear"/>
            <w:tcMar>
              <w:top w:type="dxa" w:w="80"/>
              <w:left w:type="dxa" w:w="100"/>
              <w:bottom w:type="dxa" w:w="80"/>
              <w:right w:type="dxa" w:w="100"/>
            </w:tcMar>
          </w:tcPr>
          <w:p>
            <w:r>
              <w:rPr>
                <w:b/>
                <w:bCs/>
                <w:color w:val="FFFFFF"/>
                <w:sz w:val="19"/>
                <w:szCs w:val="19"/>
              </w:rPr>
              <w:t xml:space="preserve">Signal</w:t>
            </w:r>
          </w:p>
        </w:tc>
      </w:tr>
      <w:tr>
        <w:tc>
          <w:tcPr>
            <w:tcW w:type="dxa" w:w="400"/>
            <w:tcMar>
              <w:top w:type="dxa" w:w="80"/>
              <w:left w:type="dxa" w:w="100"/>
              <w:bottom w:type="dxa" w:w="80"/>
              <w:right w:type="dxa" w:w="100"/>
            </w:tcMar>
          </w:tcPr>
          <w:p>
            <w:r>
              <w:rPr>
                <w:b w:val="false"/>
                <w:bCs w:val="false"/>
                <w:color w:val="000000"/>
                <w:sz w:val="19"/>
                <w:szCs w:val="19"/>
              </w:rPr>
              <w:t xml:space="preserve">1</w:t>
            </w:r>
          </w:p>
        </w:tc>
        <w:tc>
          <w:tcPr>
            <w:tcW w:type="dxa" w:w="4200"/>
            <w:tcMar>
              <w:top w:type="dxa" w:w="80"/>
              <w:left w:type="dxa" w:w="100"/>
              <w:bottom w:type="dxa" w:w="80"/>
              <w:right w:type="dxa" w:w="100"/>
            </w:tcMar>
          </w:tcPr>
          <w:p>
            <w:r>
              <w:rPr>
                <w:b w:val="false"/>
                <w:bCs w:val="false"/>
                <w:color w:val="000000"/>
                <w:sz w:val="19"/>
                <w:szCs w:val="19"/>
              </w:rPr>
              <w:t xml:space="preserve">Broker disk I/O saturation — follower fetch requests timing out</w:t>
            </w:r>
          </w:p>
        </w:tc>
        <w:tc>
          <w:tcPr>
            <w:tcW w:type="dxa" w:w="3500"/>
            <w:tcMar>
              <w:top w:type="dxa" w:w="80"/>
              <w:left w:type="dxa" w:w="100"/>
              <w:bottom w:type="dxa" w:w="80"/>
              <w:right w:type="dxa" w:w="100"/>
            </w:tcMar>
          </w:tcPr>
          <w:p>
            <w:r>
              <w:rPr>
                <w:b w:val="false"/>
                <w:bCs w:val="false"/>
                <w:color w:val="000000"/>
                <w:sz w:val="19"/>
                <w:szCs w:val="19"/>
              </w:rPr>
              <w:t xml:space="preserve">ISR shrinkage on specific broker correlated with disk throughput metrics</w:t>
            </w:r>
          </w:p>
        </w:tc>
      </w:tr>
      <w:tr>
        <w:tc>
          <w:tcPr>
            <w:tcW w:type="dxa" w:w="400"/>
            <w:tcMar>
              <w:top w:type="dxa" w:w="80"/>
              <w:left w:type="dxa" w:w="100"/>
              <w:bottom w:type="dxa" w:w="80"/>
              <w:right w:type="dxa" w:w="100"/>
            </w:tcMar>
          </w:tcPr>
          <w:p>
            <w:r>
              <w:rPr>
                <w:b w:val="false"/>
                <w:bCs w:val="false"/>
                <w:color w:val="000000"/>
                <w:sz w:val="19"/>
                <w:szCs w:val="19"/>
              </w:rPr>
              <w:t xml:space="preserve">2</w:t>
            </w:r>
          </w:p>
        </w:tc>
        <w:tc>
          <w:tcPr>
            <w:tcW w:type="dxa" w:w="4200"/>
            <w:tcMar>
              <w:top w:type="dxa" w:w="80"/>
              <w:left w:type="dxa" w:w="100"/>
              <w:bottom w:type="dxa" w:w="80"/>
              <w:right w:type="dxa" w:w="100"/>
            </w:tcMar>
          </w:tcPr>
          <w:p>
            <w:r>
              <w:rPr>
                <w:b w:val="false"/>
                <w:bCs w:val="false"/>
                <w:color w:val="000000"/>
                <w:sz w:val="19"/>
                <w:szCs w:val="19"/>
              </w:rPr>
              <w:t xml:space="preserve">Broker network isolation — follower cannot reach leader</w:t>
            </w:r>
          </w:p>
        </w:tc>
        <w:tc>
          <w:tcPr>
            <w:tcW w:type="dxa" w:w="3500"/>
            <w:tcMar>
              <w:top w:type="dxa" w:w="80"/>
              <w:left w:type="dxa" w:w="100"/>
              <w:bottom w:type="dxa" w:w="80"/>
              <w:right w:type="dxa" w:w="100"/>
            </w:tcMar>
          </w:tcPr>
          <w:p>
            <w:r>
              <w:rPr>
                <w:b w:val="false"/>
                <w:bCs w:val="false"/>
                <w:color w:val="000000"/>
                <w:sz w:val="19"/>
                <w:szCs w:val="19"/>
              </w:rPr>
              <w:t xml:space="preserve">Selective ISR shrinkage across multiple topics on same broker</w:t>
            </w:r>
          </w:p>
        </w:tc>
      </w:tr>
      <w:tr>
        <w:tc>
          <w:tcPr>
            <w:tcW w:type="dxa" w:w="400"/>
            <w:tcMar>
              <w:top w:type="dxa" w:w="80"/>
              <w:left w:type="dxa" w:w="100"/>
              <w:bottom w:type="dxa" w:w="80"/>
              <w:right w:type="dxa" w:w="100"/>
            </w:tcMar>
          </w:tcPr>
          <w:p>
            <w:r>
              <w:rPr>
                <w:b w:val="false"/>
                <w:bCs w:val="false"/>
                <w:color w:val="000000"/>
                <w:sz w:val="19"/>
                <w:szCs w:val="19"/>
              </w:rPr>
              <w:t xml:space="preserve">3</w:t>
            </w:r>
          </w:p>
        </w:tc>
        <w:tc>
          <w:tcPr>
            <w:tcW w:type="dxa" w:w="4200"/>
            <w:tcMar>
              <w:top w:type="dxa" w:w="80"/>
              <w:left w:type="dxa" w:w="100"/>
              <w:bottom w:type="dxa" w:w="80"/>
              <w:right w:type="dxa" w:w="100"/>
            </w:tcMar>
          </w:tcPr>
          <w:p>
            <w:r>
              <w:rPr>
                <w:b w:val="false"/>
                <w:bCs w:val="false"/>
                <w:color w:val="000000"/>
                <w:sz w:val="19"/>
                <w:szCs w:val="19"/>
              </w:rPr>
              <w:t xml:space="preserve">Broker JVM GC pause — exceeds replica.lag.time.max.ms</w:t>
            </w:r>
          </w:p>
        </w:tc>
        <w:tc>
          <w:tcPr>
            <w:tcW w:type="dxa" w:w="3500"/>
            <w:tcMar>
              <w:top w:type="dxa" w:w="80"/>
              <w:left w:type="dxa" w:w="100"/>
              <w:bottom w:type="dxa" w:w="80"/>
              <w:right w:type="dxa" w:w="100"/>
            </w:tcMar>
          </w:tcPr>
          <w:p>
            <w:r>
              <w:rPr>
                <w:b w:val="false"/>
                <w:bCs w:val="false"/>
                <w:color w:val="000000"/>
                <w:sz w:val="19"/>
                <w:szCs w:val="19"/>
              </w:rPr>
              <w:t xml:space="preserve">JVM heap pressure correlated with shrinkage timing</w:t>
            </w:r>
          </w:p>
        </w:tc>
      </w:tr>
      <w:tr>
        <w:tc>
          <w:tcPr>
            <w:tcW w:type="dxa" w:w="400"/>
            <w:tcMar>
              <w:top w:type="dxa" w:w="80"/>
              <w:left w:type="dxa" w:w="100"/>
              <w:bottom w:type="dxa" w:w="80"/>
              <w:right w:type="dxa" w:w="100"/>
            </w:tcMar>
          </w:tcPr>
          <w:p>
            <w:r>
              <w:rPr>
                <w:b w:val="false"/>
                <w:bCs w:val="false"/>
                <w:color w:val="000000"/>
                <w:sz w:val="19"/>
                <w:szCs w:val="19"/>
              </w:rPr>
              <w:t xml:space="preserve">4</w:t>
            </w:r>
          </w:p>
        </w:tc>
        <w:tc>
          <w:tcPr>
            <w:tcW w:type="dxa" w:w="4200"/>
            <w:tcMar>
              <w:top w:type="dxa" w:w="80"/>
              <w:left w:type="dxa" w:w="100"/>
              <w:bottom w:type="dxa" w:w="80"/>
              <w:right w:type="dxa" w:w="100"/>
            </w:tcMar>
          </w:tcPr>
          <w:p>
            <w:r>
              <w:rPr>
                <w:b w:val="false"/>
                <w:bCs w:val="false"/>
                <w:color w:val="000000"/>
                <w:sz w:val="19"/>
                <w:szCs w:val="19"/>
              </w:rPr>
              <w:t xml:space="preserve">Planned broker restart / rolling update</w:t>
            </w:r>
          </w:p>
        </w:tc>
        <w:tc>
          <w:tcPr>
            <w:tcW w:type="dxa" w:w="3500"/>
            <w:tcMar>
              <w:top w:type="dxa" w:w="80"/>
              <w:left w:type="dxa" w:w="100"/>
              <w:bottom w:type="dxa" w:w="80"/>
              <w:right w:type="dxa" w:w="100"/>
            </w:tcMar>
          </w:tcPr>
          <w:p>
            <w:r>
              <w:rPr>
                <w:b w:val="false"/>
                <w:bCs w:val="false"/>
                <w:color w:val="000000"/>
                <w:sz w:val="19"/>
                <w:szCs w:val="19"/>
              </w:rPr>
              <w:t xml:space="preserve">Scheduled maintenance window; shrinkage temporary during catch-up</w:t>
            </w:r>
          </w:p>
        </w:tc>
      </w:tr>
    </w:tbl>
    <w:p>
      <w:pPr>
        <w:sectPr>
          <w:footerReference w:type="default" r:id="rId12"/>
          <w:pgSz w:w="12240" w:h="15840" w:orient="portrait"/>
          <w:pgMar w:top="1440" w:right="1440" w:bottom="1440" w:left="1440" w:header="708" w:footer="708" w:gutter="0"/>
          <w:pgNumType/>
          <w:titlePg w:val="false"/>
          <w:docGrid w:linePitch="360"/>
        </w:sectPr>
      </w:pPr>
    </w:p>
    <w:p>
      <w:pPr>
        <w:pStyle w:val="Heading1"/>
        <w:spacing w:after="200" w:before="400"/>
      </w:pPr>
      <w:r>
        <w:t xml:space="preserve">6. Root Cause Analysis — Topic Level</w:t>
      </w:r>
    </w:p>
    <w:p>
      <w:pPr>
        <w:pStyle w:val="Heading2"/>
        <w:spacing w:after="150" w:before="300"/>
      </w:pPr>
      <w:r>
        <w:t xml:space="preserve">6.1 Schema Registry Mismatch</w:t>
      </w:r>
    </w:p>
    <w:p>
      <w:pPr>
        <w:spacing w:after="150"/>
      </w:pPr>
      <w:r>
        <w:t xml:space="preserve">Detection: consumer deserialization exception rate on a topic exceeds threshold; schema ID in message header does not match consumer-registered schema.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7700"/>
      </w:tblGrid>
      <w:tr>
        <w:trPr>
          <w:tblHeader/>
        </w:trPr>
        <w:tc>
          <w:tcPr>
            <w:tcW w:type="dxa" w:w="400"/>
            <w:shd w:fill="1e3a5f" w:val="clear"/>
            <w:tcMar>
              <w:top w:type="dxa" w:w="80"/>
              <w:left w:type="dxa" w:w="100"/>
              <w:bottom w:type="dxa" w:w="80"/>
              <w:right w:type="dxa" w:w="100"/>
            </w:tcMar>
          </w:tcPr>
          <w:p>
            <w:r>
              <w:rPr>
                <w:b/>
                <w:bCs/>
                <w:color w:val="FFFFFF"/>
                <w:sz w:val="19"/>
                <w:szCs w:val="19"/>
              </w:rPr>
              <w:t xml:space="preserve">#</w:t>
            </w:r>
          </w:p>
        </w:tc>
        <w:tc>
          <w:tcPr>
            <w:tcW w:type="dxa" w:w="7700"/>
            <w:shd w:fill="1e3a5f" w:val="clear"/>
            <w:tcMar>
              <w:top w:type="dxa" w:w="80"/>
              <w:left w:type="dxa" w:w="100"/>
              <w:bottom w:type="dxa" w:w="80"/>
              <w:right w:type="dxa" w:w="100"/>
            </w:tcMar>
          </w:tcPr>
          <w:p>
            <w:r>
              <w:rPr>
                <w:b/>
                <w:bCs/>
                <w:color w:val="FFFFFF"/>
                <w:sz w:val="19"/>
                <w:szCs w:val="19"/>
              </w:rPr>
              <w:t xml:space="preserve">Root Cause</w:t>
            </w:r>
          </w:p>
        </w:tc>
      </w:tr>
      <w:tr>
        <w:tc>
          <w:tcPr>
            <w:tcW w:type="dxa" w:w="400"/>
            <w:tcMar>
              <w:top w:type="dxa" w:w="80"/>
              <w:left w:type="dxa" w:w="100"/>
              <w:bottom w:type="dxa" w:w="80"/>
              <w:right w:type="dxa" w:w="100"/>
            </w:tcMar>
          </w:tcPr>
          <w:p>
            <w:r>
              <w:rPr>
                <w:b w:val="false"/>
                <w:bCs w:val="false"/>
                <w:color w:val="000000"/>
                <w:sz w:val="19"/>
                <w:szCs w:val="19"/>
              </w:rPr>
              <w:t xml:space="preserve">1</w:t>
            </w:r>
          </w:p>
        </w:tc>
        <w:tc>
          <w:tcPr>
            <w:tcW w:type="dxa" w:w="7700"/>
            <w:tcMar>
              <w:top w:type="dxa" w:w="80"/>
              <w:left w:type="dxa" w:w="100"/>
              <w:bottom w:type="dxa" w:w="80"/>
              <w:right w:type="dxa" w:w="100"/>
            </w:tcMar>
          </w:tcPr>
          <w:p>
            <w:r>
              <w:rPr>
                <w:b w:val="false"/>
                <w:bCs w:val="false"/>
                <w:color w:val="000000"/>
                <w:sz w:val="19"/>
                <w:szCs w:val="19"/>
              </w:rPr>
              <w:t xml:space="preserve">Producer deployed new Avro schema without backward-compatible evolution</w:t>
            </w:r>
          </w:p>
        </w:tc>
      </w:tr>
      <w:tr>
        <w:tc>
          <w:tcPr>
            <w:tcW w:type="dxa" w:w="400"/>
            <w:tcMar>
              <w:top w:type="dxa" w:w="80"/>
              <w:left w:type="dxa" w:w="100"/>
              <w:bottom w:type="dxa" w:w="80"/>
              <w:right w:type="dxa" w:w="100"/>
            </w:tcMar>
          </w:tcPr>
          <w:p>
            <w:r>
              <w:rPr>
                <w:b w:val="false"/>
                <w:bCs w:val="false"/>
                <w:color w:val="000000"/>
                <w:sz w:val="19"/>
                <w:szCs w:val="19"/>
              </w:rPr>
              <w:t xml:space="preserve">2</w:t>
            </w:r>
          </w:p>
        </w:tc>
        <w:tc>
          <w:tcPr>
            <w:tcW w:type="dxa" w:w="7700"/>
            <w:tcMar>
              <w:top w:type="dxa" w:w="80"/>
              <w:left w:type="dxa" w:w="100"/>
              <w:bottom w:type="dxa" w:w="80"/>
              <w:right w:type="dxa" w:w="100"/>
            </w:tcMar>
          </w:tcPr>
          <w:p>
            <w:r>
              <w:rPr>
                <w:b w:val="false"/>
                <w:bCs w:val="false"/>
                <w:color w:val="000000"/>
                <w:sz w:val="19"/>
                <w:szCs w:val="19"/>
              </w:rPr>
              <w:t xml:space="preserve">Schema Registry compatibility mode changed BACKWARD → NONE</w:t>
            </w:r>
          </w:p>
        </w:tc>
      </w:tr>
      <w:tr>
        <w:tc>
          <w:tcPr>
            <w:tcW w:type="dxa" w:w="400"/>
            <w:tcMar>
              <w:top w:type="dxa" w:w="80"/>
              <w:left w:type="dxa" w:w="100"/>
              <w:bottom w:type="dxa" w:w="80"/>
              <w:right w:type="dxa" w:w="100"/>
            </w:tcMar>
          </w:tcPr>
          <w:p>
            <w:r>
              <w:rPr>
                <w:b w:val="false"/>
                <w:bCs w:val="false"/>
                <w:color w:val="000000"/>
                <w:sz w:val="19"/>
                <w:szCs w:val="19"/>
              </w:rPr>
              <w:t xml:space="preserve">3</w:t>
            </w:r>
          </w:p>
        </w:tc>
        <w:tc>
          <w:tcPr>
            <w:tcW w:type="dxa" w:w="7700"/>
            <w:tcMar>
              <w:top w:type="dxa" w:w="80"/>
              <w:left w:type="dxa" w:w="100"/>
              <w:bottom w:type="dxa" w:w="80"/>
              <w:right w:type="dxa" w:w="100"/>
            </w:tcMar>
          </w:tcPr>
          <w:p>
            <w:r>
              <w:rPr>
                <w:b w:val="false"/>
                <w:bCs w:val="false"/>
                <w:color w:val="000000"/>
                <w:sz w:val="19"/>
                <w:szCs w:val="19"/>
              </w:rPr>
              <w:t xml:space="preserve">Two producer versions writing simultaneously to same topic (blue-green mix)</w:t>
            </w:r>
          </w:p>
        </w:tc>
      </w:tr>
      <w:tr>
        <w:tc>
          <w:tcPr>
            <w:tcW w:type="dxa" w:w="400"/>
            <w:tcMar>
              <w:top w:type="dxa" w:w="80"/>
              <w:left w:type="dxa" w:w="100"/>
              <w:bottom w:type="dxa" w:w="80"/>
              <w:right w:type="dxa" w:w="100"/>
            </w:tcMar>
          </w:tcPr>
          <w:p>
            <w:r>
              <w:rPr>
                <w:b w:val="false"/>
                <w:bCs w:val="false"/>
                <w:color w:val="000000"/>
                <w:sz w:val="19"/>
                <w:szCs w:val="19"/>
              </w:rPr>
              <w:t xml:space="preserve">4</w:t>
            </w:r>
          </w:p>
        </w:tc>
        <w:tc>
          <w:tcPr>
            <w:tcW w:type="dxa" w:w="7700"/>
            <w:tcMar>
              <w:top w:type="dxa" w:w="80"/>
              <w:left w:type="dxa" w:w="100"/>
              <w:bottom w:type="dxa" w:w="80"/>
              <w:right w:type="dxa" w:w="100"/>
            </w:tcMar>
          </w:tcPr>
          <w:p>
            <w:r>
              <w:rPr>
                <w:b w:val="false"/>
                <w:bCs w:val="false"/>
                <w:color w:val="000000"/>
                <w:sz w:val="19"/>
                <w:szCs w:val="19"/>
              </w:rPr>
              <w:t xml:space="preserve">Consumer schema cache stale</w:t>
            </w:r>
          </w:p>
        </w:tc>
      </w:tr>
    </w:tbl>
    <w:p>
      <w:pPr>
        <w:spacing w:after="150"/>
      </w:pPr>
      <w:r>
        <w:t xml:space="preserve">MCP action: kafka.updateSchemaCompatibility — sets subject mode to BACKWARD_TRANSITIVE. Approval-gated because an incorrect mode setting blocks all future producer publishes to that subject.</w:t>
      </w:r>
    </w:p>
    <w:p>
      <w:pPr>
        <w:pStyle w:val="Heading2"/>
        <w:spacing w:after="150" w:before="300"/>
      </w:pPr>
      <w:r>
        <w:t xml:space="preserve">6.2 KIP-932 Share Group Queue Depth</w:t>
      </w:r>
    </w:p>
    <w:p>
      <w:pPr>
        <w:spacing w:after="150"/>
      </w:pPr>
      <w:r>
        <w:t xml:space="preserve">Detection: share group delivery queue depth exceeds 15,000 unacknowledged messages. MCP action: kafka.acknowledgeShareGroupRebalance — acknowledges the event; KIP-932 delivery state is broker-managed, so no client-side checkpoint mutation exists or is performed. Approval-gated because it reflects Monitor's judgment on an active share-group event, not because of any cluster mutation.</w:t>
      </w:r>
    </w:p>
    <w:p>
      <w:pPr>
        <w:pStyle w:val="Heading2"/>
        <w:spacing w:after="150" w:before="300"/>
      </w:pPr>
      <w:r>
        <w:t xml:space="preserve">6.3 Consumer Session Timeout / Heartbeat Failure</w:t>
      </w:r>
    </w:p>
    <w:p>
      <w:pPr>
        <w:spacing w:after="150"/>
      </w:pPr>
      <w:r>
        <w:t xml:space="preserve">Detection: consumer heartbeat failures; group coordinator marks consumer as dead after session.timeout.ms exceeded. Auto-remediation: kafka.scaleConsumers(delta=+1). Auto-approved because additive scaling is non-disruptive.</w:t>
      </w:r>
    </w:p>
    <w:p>
      <w:pPr>
        <w:spacing w:after="150"/>
      </w:pPr>
      <w:r>
        <w:rPr>
          <w:i/>
          <w:iCs/>
        </w:rPr>
        <w:t xml:space="preserve">Also confirmed live against the current cluster: a real consumer group state transition to Dead was detected at 92% confidence and auto-remediated end-to-end, including an updated session.timeout.ms config, a recorded lesson, and a dispatched Slack notification.</w:t>
      </w:r>
    </w:p>
    <w:p>
      <w:pPr>
        <w:pStyle w:val="Heading2"/>
        <w:spacing w:after="150" w:before="300"/>
      </w:pPr>
      <w:r>
        <w:t xml:space="preserve">6.4 Log Compaction Lag</w:t>
      </w:r>
    </w:p>
    <w:p>
      <w:pPr>
        <w:spacing w:after="150"/>
      </w:pPr>
      <w:r>
        <w:t xml:space="preserve">Detection: log compaction falling behind write rate on ops.lessons.v1; dirty ratio exceeds cleaner threshold. Auto-remediation: adjust min.compaction.lag.ms and max.compaction.lag.ms to throttle frequency. Auto-approved because compaction tuning does not affect message delivery.</w:t>
      </w:r>
    </w:p>
    <w:p>
      <w:pPr>
        <w:sectPr>
          <w:footerReference w:type="default" r:id="rId13"/>
          <w:pgSz w:w="12240" w:h="15840" w:orient="portrait"/>
          <w:pgMar w:top="1440" w:right="1440" w:bottom="1440" w:left="1440" w:header="708" w:footer="708" w:gutter="0"/>
          <w:pgNumType/>
          <w:titlePg w:val="false"/>
          <w:docGrid w:linePitch="360"/>
        </w:sectPr>
      </w:pPr>
    </w:p>
    <w:p>
      <w:pPr>
        <w:pStyle w:val="Heading1"/>
        <w:spacing w:after="200" w:before="400"/>
      </w:pPr>
      <w:r>
        <w:t xml:space="preserve">7. Infrastructure Update (July 2026)</w:t>
      </w:r>
    </w:p>
    <w:p>
      <w:pPr>
        <w:spacing w:after="150"/>
      </w:pPr>
      <w:r>
        <w:t xml:space="preserve">The live cluster backing this platform moved from Confluent for Kubernetes on Civo Cloud to Confluent for Kubernetes on DigitalOcean Kubernetes Service, in KRaft mode, following a node/network-level fault on the prior cluster unrelated to the application itself.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shd w:fill="1e3a5f" w:val="clear"/>
            <w:tcMar>
              <w:top w:type="dxa" w:w="80"/>
              <w:left w:type="dxa" w:w="100"/>
              <w:bottom w:type="dxa" w:w="80"/>
              <w:right w:type="dxa" w:w="100"/>
            </w:tcMar>
          </w:tcPr>
          <w:p>
            <w:r>
              <w:rPr>
                <w:b/>
                <w:bCs/>
                <w:color w:val="FFFFFF"/>
                <w:sz w:val="19"/>
                <w:szCs w:val="19"/>
              </w:rPr>
              <w:t xml:space="preserve">Property</w:t>
            </w:r>
          </w:p>
        </w:tc>
        <w:tc>
          <w:tcPr>
            <w:tcW w:type="dxa" w:w="6600"/>
            <w:shd w:fill="1e3a5f" w:val="clear"/>
            <w:tcMar>
              <w:top w:type="dxa" w:w="80"/>
              <w:left w:type="dxa" w:w="100"/>
              <w:bottom w:type="dxa" w:w="80"/>
              <w:right w:type="dxa" w:w="100"/>
            </w:tcMar>
          </w:tcPr>
          <w:p>
            <w:r>
              <w:rPr>
                <w:b/>
                <w:bCs/>
                <w:color w:val="FFFFFF"/>
                <w:sz w:val="19"/>
                <w:szCs w:val="19"/>
              </w:rPr>
              <w:t xml:space="preserve">Current Value</w:t>
            </w:r>
          </w:p>
        </w:tc>
      </w:tr>
      <w:tr>
        <w:tc>
          <w:tcPr>
            <w:tcW w:type="dxa" w:w="2500"/>
            <w:tcMar>
              <w:top w:type="dxa" w:w="80"/>
              <w:left w:type="dxa" w:w="100"/>
              <w:bottom w:type="dxa" w:w="80"/>
              <w:right w:type="dxa" w:w="100"/>
            </w:tcMar>
          </w:tcPr>
          <w:p>
            <w:r>
              <w:rPr>
                <w:b w:val="false"/>
                <w:bCs w:val="false"/>
                <w:color w:val="000000"/>
                <w:sz w:val="19"/>
                <w:szCs w:val="19"/>
              </w:rPr>
              <w:t xml:space="preserve">Provider</w:t>
            </w:r>
          </w:p>
        </w:tc>
        <w:tc>
          <w:tcPr>
            <w:tcW w:type="dxa" w:w="6600"/>
            <w:tcMar>
              <w:top w:type="dxa" w:w="80"/>
              <w:left w:type="dxa" w:w="100"/>
              <w:bottom w:type="dxa" w:w="80"/>
              <w:right w:type="dxa" w:w="100"/>
            </w:tcMar>
          </w:tcPr>
          <w:p>
            <w:r>
              <w:rPr>
                <w:b w:val="false"/>
                <w:bCs w:val="false"/>
                <w:color w:val="000000"/>
                <w:sz w:val="19"/>
                <w:szCs w:val="19"/>
              </w:rPr>
              <w:t xml:space="preserve">DigitalOcean Kubernetes Service (DOKS), region nyc1</w:t>
            </w:r>
          </w:p>
        </w:tc>
      </w:tr>
      <w:tr>
        <w:tc>
          <w:tcPr>
            <w:tcW w:type="dxa" w:w="2500"/>
            <w:tcMar>
              <w:top w:type="dxa" w:w="80"/>
              <w:left w:type="dxa" w:w="100"/>
              <w:bottom w:type="dxa" w:w="80"/>
              <w:right w:type="dxa" w:w="100"/>
            </w:tcMar>
          </w:tcPr>
          <w:p>
            <w:r>
              <w:rPr>
                <w:b w:val="false"/>
                <w:bCs w:val="false"/>
                <w:color w:val="000000"/>
                <w:sz w:val="19"/>
                <w:szCs w:val="19"/>
              </w:rPr>
              <w:t xml:space="preserve">Topology</w:t>
            </w:r>
          </w:p>
        </w:tc>
        <w:tc>
          <w:tcPr>
            <w:tcW w:type="dxa" w:w="6600"/>
            <w:tcMar>
              <w:top w:type="dxa" w:w="80"/>
              <w:left w:type="dxa" w:w="100"/>
              <w:bottom w:type="dxa" w:w="80"/>
              <w:right w:type="dxa" w:w="100"/>
            </w:tcMar>
          </w:tcPr>
          <w:p>
            <w:r>
              <w:rPr>
                <w:b w:val="false"/>
                <w:bCs w:val="false"/>
                <w:color w:val="000000"/>
                <w:sz w:val="19"/>
                <w:szCs w:val="19"/>
              </w:rPr>
              <w:t xml:space="preserve">3 KRaft controllers, 3 brokers, 1 Schema Registry</w:t>
            </w:r>
          </w:p>
        </w:tc>
      </w:tr>
      <w:tr>
        <w:tc>
          <w:tcPr>
            <w:tcW w:type="dxa" w:w="2500"/>
            <w:tcMar>
              <w:top w:type="dxa" w:w="80"/>
              <w:left w:type="dxa" w:w="100"/>
              <w:bottom w:type="dxa" w:w="80"/>
              <w:right w:type="dxa" w:w="100"/>
            </w:tcMar>
          </w:tcPr>
          <w:p>
            <w:r>
              <w:rPr>
                <w:b w:val="false"/>
                <w:bCs w:val="false"/>
                <w:color w:val="000000"/>
                <w:sz w:val="19"/>
                <w:szCs w:val="19"/>
              </w:rPr>
              <w:t xml:space="preserve">External access</w:t>
            </w:r>
          </w:p>
        </w:tc>
        <w:tc>
          <w:tcPr>
            <w:tcW w:type="dxa" w:w="6600"/>
            <w:tcMar>
              <w:top w:type="dxa" w:w="80"/>
              <w:left w:type="dxa" w:w="100"/>
              <w:bottom w:type="dxa" w:w="80"/>
              <w:right w:type="dxa" w:w="100"/>
            </w:tcMar>
          </w:tcPr>
          <w:p>
            <w:r>
              <w:rPr>
                <w:b w:val="false"/>
                <w:bCs w:val="false"/>
                <w:color w:val="000000"/>
                <w:sz w:val="19"/>
                <w:szCs w:val="19"/>
              </w:rPr>
              <w:t xml:space="preserve">NodePort (not LoadBalancer — avoids per-broker LB cost and CFK addressing conflicts)</w:t>
            </w:r>
          </w:p>
        </w:tc>
      </w:tr>
      <w:tr>
        <w:tc>
          <w:tcPr>
            <w:tcW w:type="dxa" w:w="2500"/>
            <w:tcMar>
              <w:top w:type="dxa" w:w="80"/>
              <w:left w:type="dxa" w:w="100"/>
              <w:bottom w:type="dxa" w:w="80"/>
              <w:right w:type="dxa" w:w="100"/>
            </w:tcMar>
          </w:tcPr>
          <w:p>
            <w:r>
              <w:rPr>
                <w:b w:val="false"/>
                <w:bCs w:val="false"/>
                <w:color w:val="000000"/>
                <w:sz w:val="19"/>
                <w:szCs w:val="19"/>
              </w:rPr>
              <w:t xml:space="preserve">Bootstrap address</w:t>
            </w:r>
          </w:p>
        </w:tc>
        <w:tc>
          <w:tcPr>
            <w:tcW w:type="dxa" w:w="6600"/>
            <w:tcMar>
              <w:top w:type="dxa" w:w="80"/>
              <w:left w:type="dxa" w:w="100"/>
              <w:bottom w:type="dxa" w:w="80"/>
              <w:right w:type="dxa" w:w="100"/>
            </w:tcMar>
          </w:tcPr>
          <w:p>
            <w:r>
              <w:rPr>
                <w:b w:val="false"/>
                <w:bCs w:val="false"/>
                <w:color w:val="000000"/>
                <w:sz w:val="19"/>
                <w:szCs w:val="19"/>
              </w:rPr>
              <w:t xml:space="preserve">64.227.25.232:31090</w:t>
            </w:r>
          </w:p>
        </w:tc>
      </w:tr>
      <w:tr>
        <w:tc>
          <w:tcPr>
            <w:tcW w:type="dxa" w:w="2500"/>
            <w:tcMar>
              <w:top w:type="dxa" w:w="80"/>
              <w:left w:type="dxa" w:w="100"/>
              <w:bottom w:type="dxa" w:w="80"/>
              <w:right w:type="dxa" w:w="100"/>
            </w:tcMar>
          </w:tcPr>
          <w:p>
            <w:r>
              <w:rPr>
                <w:b w:val="false"/>
                <w:bCs w:val="false"/>
                <w:color w:val="000000"/>
                <w:sz w:val="19"/>
                <w:szCs w:val="19"/>
              </w:rPr>
              <w:t xml:space="preserve">Topics / Replication</w:t>
            </w:r>
          </w:p>
        </w:tc>
        <w:tc>
          <w:tcPr>
            <w:tcW w:type="dxa" w:w="6600"/>
            <w:tcMar>
              <w:top w:type="dxa" w:w="80"/>
              <w:left w:type="dxa" w:w="100"/>
              <w:bottom w:type="dxa" w:w="80"/>
              <w:right w:type="dxa" w:w="100"/>
            </w:tcMar>
          </w:tcPr>
          <w:p>
            <w:r>
              <w:rPr>
                <w:b w:val="false"/>
                <w:bCs w:val="false"/>
                <w:color w:val="000000"/>
                <w:sz w:val="19"/>
                <w:szCs w:val="19"/>
              </w:rPr>
              <w:t xml:space="preserve">7 topics, RF=3 (upgraded from the prior 5-topic / RF-2 free-tier constraint)</w:t>
            </w:r>
          </w:p>
        </w:tc>
      </w:tr>
      <w:tr>
        <w:tc>
          <w:tcPr>
            <w:tcW w:type="dxa" w:w="2500"/>
            <w:tcMar>
              <w:top w:type="dxa" w:w="80"/>
              <w:left w:type="dxa" w:w="100"/>
              <w:bottom w:type="dxa" w:w="80"/>
              <w:right w:type="dxa" w:w="100"/>
            </w:tcMar>
          </w:tcPr>
          <w:p>
            <w:r>
              <w:rPr>
                <w:b w:val="false"/>
                <w:bCs w:val="false"/>
                <w:color w:val="000000"/>
                <w:sz w:val="19"/>
                <w:szCs w:val="19"/>
              </w:rPr>
              <w:t xml:space="preserve">Auth</w:t>
            </w:r>
          </w:p>
        </w:tc>
        <w:tc>
          <w:tcPr>
            <w:tcW w:type="dxa" w:w="6600"/>
            <w:tcMar>
              <w:top w:type="dxa" w:w="80"/>
              <w:left w:type="dxa" w:w="100"/>
              <w:bottom w:type="dxa" w:w="80"/>
              <w:right w:type="dxa" w:w="100"/>
            </w:tcMar>
          </w:tcPr>
          <w:p>
            <w:r>
              <w:rPr>
                <w:b w:val="false"/>
                <w:bCs w:val="false"/>
                <w:color w:val="000000"/>
                <w:sz w:val="19"/>
                <w:szCs w:val="19"/>
              </w:rPr>
              <w:t xml:space="preserve">None — unauthenticated demo listener</w:t>
            </w:r>
          </w:p>
        </w:tc>
      </w:tr>
    </w:tbl>
    <w:p>
      <w:pPr>
        <w:spacing w:after="150"/>
      </w:pPr>
      <w:r>
        <w:t xml:space="preserve">Six bugs were also found and fixed in the Kafka client code across this migration and a follow-up session: a case-sensitive KAFKA_MODE check, an unconditional SASL block that broke unauthenticated connections, a module-scope Admin client cache that caused connection races under Vercel's serverless model, a bootstrap-address env var naming mismatch between two client modules, a real-time metrics poll that was structurally starved by Vercel's SSE timeout ceiling, and an unsafe KAFKA_SSL_ENABLED default that silently enabled TLS against the plaintext listener whenever the value was unset or blank — a later production outage traced to exactly this, now replaced with an explicit guard that throws on any value other than exactly "true" or "false". All six are fixed and verified against the live cluster. Full detail is maintained in the Blueprint &amp; Architecture document, §11.</w:t>
      </w:r>
    </w:p>
    <w:p>
      <w:pPr>
        <w:spacing w:after="150"/>
      </w:pPr>
      <w:r>
        <w:rPr>
          <w:i/>
          <w:iCs/>
          <w:color w:val="6b7280"/>
          <w:sz w:val="18"/>
          <w:szCs w:val="18"/>
        </w:rPr>
        <w:t xml:space="preserve">Known limitation: the dashboard's Broker card currently displays client-side simulated demo state rather than live cluster telemetry outside of active scenario playback — confirmed cosmetic; the underlying real-time data and all scenario remediation logic are verified correct against the live cluster.</w:t>
      </w:r>
    </w:p>
    <w:p>
      <w:pPr>
        <w:sectPr>
          <w:footerReference w:type="default" r:id="rId14"/>
          <w:pgSz w:w="12240" w:h="15840" w:orient="portrait"/>
          <w:pgMar w:top="1440" w:right="1440" w:bottom="1440" w:left="1440" w:header="708" w:footer="708" w:gutter="0"/>
          <w:pgNumType/>
          <w:titlePg w:val="false"/>
          <w:docGrid w:linePitch="360"/>
        </w:sectPr>
      </w:pPr>
    </w:p>
    <w:p>
      <w:pPr>
        <w:pStyle w:val="Heading1"/>
        <w:spacing w:after="200" w:before="400"/>
      </w:pPr>
      <w:r>
        <w:t xml:space="preserve">8. Why Confluent as the Agentic AI Backbone for IBM</w:t>
      </w:r>
    </w:p>
    <w:p>
      <w:pPr>
        <w:spacing w:after="150"/>
      </w:pPr>
      <w:r>
        <w:t xml:space="preserve">The architecture of Agent Mesh SRE maps directly onto three requirements that enterprise AI applications consistently lack. The pivot from Kafka self-healing to an IBM Agentic AI backbone is architectural, not a rebuild: replace cluster metrics with enterprise data streams and the Monitor agent's Kafka domain logic with IBM business domain logic. The governance and learning infrastructure transfers unchanged.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600"/>
      </w:tblGrid>
      <w:tr>
        <w:trPr>
          <w:tblHeader/>
        </w:trPr>
        <w:tc>
          <w:tcPr>
            <w:tcW w:type="dxa" w:w="1800"/>
            <w:shd w:fill="1e3a5f" w:val="clear"/>
            <w:tcMar>
              <w:top w:type="dxa" w:w="80"/>
              <w:left w:type="dxa" w:w="100"/>
              <w:bottom w:type="dxa" w:w="80"/>
              <w:right w:type="dxa" w:w="100"/>
            </w:tcMar>
          </w:tcPr>
          <w:p>
            <w:r>
              <w:rPr>
                <w:b/>
                <w:bCs/>
                <w:color w:val="FFFFFF"/>
                <w:sz w:val="19"/>
                <w:szCs w:val="19"/>
              </w:rPr>
              <w:t xml:space="preserve">Capability</w:t>
            </w:r>
          </w:p>
        </w:tc>
        <w:tc>
          <w:tcPr>
            <w:tcW w:type="dxa" w:w="3700"/>
            <w:shd w:fill="1e3a5f" w:val="clear"/>
            <w:tcMar>
              <w:top w:type="dxa" w:w="80"/>
              <w:left w:type="dxa" w:w="100"/>
              <w:bottom w:type="dxa" w:w="80"/>
              <w:right w:type="dxa" w:w="100"/>
            </w:tcMar>
          </w:tcPr>
          <w:p>
            <w:r>
              <w:rPr>
                <w:b/>
                <w:bCs/>
                <w:color w:val="FFFFFF"/>
                <w:sz w:val="19"/>
                <w:szCs w:val="19"/>
              </w:rPr>
              <w:t xml:space="preserve">What the POC Demonstrates</w:t>
            </w:r>
          </w:p>
        </w:tc>
        <w:tc>
          <w:tcPr>
            <w:tcW w:type="dxa" w:w="3600"/>
            <w:shd w:fill="1e3a5f" w:val="clear"/>
            <w:tcMar>
              <w:top w:type="dxa" w:w="80"/>
              <w:left w:type="dxa" w:w="100"/>
              <w:bottom w:type="dxa" w:w="80"/>
              <w:right w:type="dxa" w:w="100"/>
            </w:tcMar>
          </w:tcPr>
          <w:p>
            <w:r>
              <w:rPr>
                <w:b/>
                <w:bCs/>
                <w:color w:val="FFFFFF"/>
                <w:sz w:val="19"/>
                <w:szCs w:val="19"/>
              </w:rPr>
              <w:t xml:space="preserve">IBM Enterprise Application</w:t>
            </w:r>
          </w:p>
        </w:tc>
      </w:tr>
      <w:tr>
        <w:tc>
          <w:tcPr>
            <w:tcW w:type="dxa" w:w="1800"/>
            <w:tcMar>
              <w:top w:type="dxa" w:w="80"/>
              <w:left w:type="dxa" w:w="100"/>
              <w:bottom w:type="dxa" w:w="80"/>
              <w:right w:type="dxa" w:w="100"/>
            </w:tcMar>
          </w:tcPr>
          <w:p>
            <w:r>
              <w:rPr>
                <w:b w:val="false"/>
                <w:bCs w:val="false"/>
                <w:color w:val="000000"/>
                <w:sz w:val="19"/>
                <w:szCs w:val="19"/>
              </w:rPr>
              <w:t xml:space="preserve">Real-time grounding</w:t>
            </w:r>
          </w:p>
        </w:tc>
        <w:tc>
          <w:tcPr>
            <w:tcW w:type="dxa" w:w="3700"/>
            <w:tcMar>
              <w:top w:type="dxa" w:w="80"/>
              <w:left w:type="dxa" w:w="100"/>
              <w:bottom w:type="dxa" w:w="80"/>
              <w:right w:type="dxa" w:w="100"/>
            </w:tcMar>
          </w:tcPr>
          <w:p>
            <w:r>
              <w:rPr>
                <w:b w:val="false"/>
                <w:bCs w:val="false"/>
                <w:color w:val="000000"/>
                <w:sz w:val="19"/>
                <w:szCs w:val="19"/>
              </w:rPr>
              <w:t xml:space="preserve">Live Kafka telemetry streams directly into Monitor agent reasoning context as it happens — no batch ETL, no stale snapshots</w:t>
            </w:r>
          </w:p>
        </w:tc>
        <w:tc>
          <w:tcPr>
            <w:tcW w:type="dxa" w:w="3600"/>
            <w:tcMar>
              <w:top w:type="dxa" w:w="80"/>
              <w:left w:type="dxa" w:w="100"/>
              <w:bottom w:type="dxa" w:w="80"/>
              <w:right w:type="dxa" w:w="100"/>
            </w:tcMar>
          </w:tcPr>
          <w:p>
            <w:r>
              <w:rPr>
                <w:b w:val="false"/>
                <w:bCs w:val="false"/>
                <w:color w:val="000000"/>
                <w:sz w:val="19"/>
                <w:szCs w:val="19"/>
              </w:rPr>
              <w:t xml:space="preserve">IBM watsonx agents, AIOps, IBM Financial Services AI — decisions on current reality not yesterday's data</w:t>
            </w:r>
          </w:p>
        </w:tc>
      </w:tr>
      <w:tr>
        <w:tc>
          <w:tcPr>
            <w:tcW w:type="dxa" w:w="1800"/>
            <w:tcMar>
              <w:top w:type="dxa" w:w="80"/>
              <w:left w:type="dxa" w:w="100"/>
              <w:bottom w:type="dxa" w:w="80"/>
              <w:right w:type="dxa" w:w="100"/>
            </w:tcMar>
          </w:tcPr>
          <w:p>
            <w:r>
              <w:rPr>
                <w:b w:val="false"/>
                <w:bCs w:val="false"/>
                <w:color w:val="000000"/>
                <w:sz w:val="19"/>
                <w:szCs w:val="19"/>
              </w:rPr>
              <w:t xml:space="preserve">Governed, auditable actions</w:t>
            </w:r>
          </w:p>
        </w:tc>
        <w:tc>
          <w:tcPr>
            <w:tcW w:type="dxa" w:w="3700"/>
            <w:tcMar>
              <w:top w:type="dxa" w:w="80"/>
              <w:left w:type="dxa" w:w="100"/>
              <w:bottom w:type="dxa" w:w="80"/>
              <w:right w:type="dxa" w:w="100"/>
            </w:tcMar>
          </w:tcPr>
          <w:p>
            <w:r>
              <w:rPr>
                <w:b w:val="false"/>
                <w:bCs w:val="false"/>
                <w:color w:val="000000"/>
                <w:sz w:val="19"/>
                <w:szCs w:val="19"/>
              </w:rPr>
              <w:t xml:space="preserve">Every MCP tool call — approved, rejected, or auto-executed — written to ops.actions.audit.v1 as an immutable record with actor, timestamp, and rationale</w:t>
            </w:r>
          </w:p>
        </w:tc>
        <w:tc>
          <w:tcPr>
            <w:tcW w:type="dxa" w:w="3600"/>
            <w:tcMar>
              <w:top w:type="dxa" w:w="80"/>
              <w:left w:type="dxa" w:w="100"/>
              <w:bottom w:type="dxa" w:w="80"/>
              <w:right w:type="dxa" w:w="100"/>
            </w:tcMar>
          </w:tcPr>
          <w:p>
            <w:r>
              <w:rPr>
                <w:b w:val="false"/>
                <w:bCs w:val="false"/>
                <w:color w:val="000000"/>
                <w:sz w:val="19"/>
                <w:szCs w:val="19"/>
              </w:rPr>
              <w:t xml:space="preserve">Regulated industries (banking, healthcare, government). Addresses the compliance gap blocking IBM AI consulting revenue</w:t>
            </w:r>
          </w:p>
        </w:tc>
      </w:tr>
      <w:tr>
        <w:tc>
          <w:tcPr>
            <w:tcW w:type="dxa" w:w="1800"/>
            <w:tcMar>
              <w:top w:type="dxa" w:w="80"/>
              <w:left w:type="dxa" w:w="100"/>
              <w:bottom w:type="dxa" w:w="80"/>
              <w:right w:type="dxa" w:w="100"/>
            </w:tcMar>
          </w:tcPr>
          <w:p>
            <w:r>
              <w:rPr>
                <w:b w:val="false"/>
                <w:bCs w:val="false"/>
                <w:color w:val="000000"/>
                <w:sz w:val="19"/>
                <w:szCs w:val="19"/>
              </w:rPr>
              <w:t xml:space="preserve">Self-improving infrastructure</w:t>
            </w:r>
          </w:p>
        </w:tc>
        <w:tc>
          <w:tcPr>
            <w:tcW w:type="dxa" w:w="3700"/>
            <w:tcMar>
              <w:top w:type="dxa" w:w="80"/>
              <w:left w:type="dxa" w:w="100"/>
              <w:bottom w:type="dxa" w:w="80"/>
              <w:right w:type="dxa" w:w="100"/>
            </w:tcMar>
          </w:tcPr>
          <w:p>
            <w:r>
              <w:rPr>
                <w:b w:val="false"/>
                <w:bCs w:val="false"/>
                <w:color w:val="000000"/>
                <w:sz w:val="19"/>
                <w:szCs w:val="19"/>
              </w:rPr>
              <w:t xml:space="preserve">ops.lessons.v1 (log-compacted, no expiry) is the agent's persistent institutional memory. Future reasoning cycles cite and adapt from prior lessons without model retraining</w:t>
            </w:r>
          </w:p>
        </w:tc>
        <w:tc>
          <w:tcPr>
            <w:tcW w:type="dxa" w:w="3600"/>
            <w:tcMar>
              <w:top w:type="dxa" w:w="80"/>
              <w:left w:type="dxa" w:w="100"/>
              <w:bottom w:type="dxa" w:w="80"/>
              <w:right w:type="dxa" w:w="100"/>
            </w:tcMar>
          </w:tcPr>
          <w:p>
            <w:r>
              <w:rPr>
                <w:b w:val="false"/>
                <w:bCs w:val="false"/>
                <w:color w:val="000000"/>
                <w:sz w:val="19"/>
                <w:szCs w:val="19"/>
              </w:rPr>
              <w:t xml:space="preserve">IBM SRE, enterprise IT automation, watsonx Orchestrate — operational knowledge accumulation across deployments</w:t>
            </w:r>
          </w:p>
        </w:tc>
      </w:tr>
    </w:tbl>
    <w:p>
      <w:pPr>
        <w:spacing w:after="150"/>
      </w:pPr>
      <w:r>
        <w:t xml:space="preserve">This POC is live today at agent-mesh-sre.vercel.app against a real Confluent for Kubernetes cluster on DigitalOcean (bootstrap: 64.227.25.232:31090). All scenarios run end-to-end. Documentation, architecture guides, and the Bobathon 2026 submission materials are hosted alongside the application.</w:t>
      </w:r>
    </w:p>
    <w:sectPr>
      <w:footerReference w:type="default" r:id="rId15"/>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Agent Mesh SRE  ·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2026-07-02T08:18:33.920Z</dcterms:created>
  <dcterms:modified xsi:type="dcterms:W3CDTF">2026-07-02T08:18:33.928Z</dcterms:modified>
</cp:coreProperties>
</file>

<file path=docProps/custom.xml><?xml version="1.0" encoding="utf-8"?>
<Properties xmlns="http://schemas.openxmlformats.org/officeDocument/2006/custom-properties" xmlns:vt="http://schemas.openxmlformats.org/officeDocument/2006/docPropsVTypes"/>
</file>