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APEX MANUFACTURING PVT DFDFDFLTD</w:t>
      </w:r>
    </w:p>
    <w:p>
      <w:pPr>
        <w:jc w:val="center"/>
      </w:pPr>
      <w:r>
        <w:t>Date: 2026-03-10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FCU check and independent market sources.</w:t>
      </w:r>
    </w:p>
    <w:p>
      <w:r>
        <w:t>- Machine Supplier: Verified through supplier reference checks.</w:t>
      </w:r>
    </w:p>
    <w:p>
      <w:r>
        <w:t>- Bankers: Verified with the primary banker, ICICI Bank, and cross-referenced with FCU data.</w:t>
      </w:r>
    </w:p>
    <w:p>
      <w:pPr>
        <w:pStyle w:val="Heading2"/>
      </w:pPr>
      <w:r>
        <w:t>- Creditors: No other creditors identified.</w:t>
      </w:r>
    </w:p>
    <w:p>
      <w:r>
        <w:t>- Independent/Market: Verified through market research and independent sources.</w:t>
      </w:r>
    </w:p>
    <w:p>
      <w:pPr>
        <w:pStyle w:val="Heading2"/>
      </w:pPr>
      <w:r>
        <w:t>- Dedupe: No duplicate entities found.</w:t>
      </w:r>
    </w:p>
    <w:p>
      <w:r>
        <w:t>- FCU Check: FCU data confirms the company's details and financial information.</w:t>
      </w:r>
    </w:p>
    <w:p>
      <w:r>
        <w:t>2. GUARANTOR DETAIL</w:t>
      </w:r>
    </w:p>
    <w:p>
      <w:pPr>
        <w:pStyle w:val="Heading2"/>
      </w:pPr>
      <w:r>
        <w:t>- Name: DIN 02930211 and DIN 07882291</w:t>
      </w:r>
    </w:p>
    <w:p>
      <w:pPr>
        <w:pStyle w:val="Heading2"/>
      </w:pPr>
      <w:r>
        <w:t>- Address: [Address redacted for privacy]</w:t>
      </w:r>
    </w:p>
    <w:p>
      <w:r>
        <w:t>- CIBIL Score: Clean regulatory history with no disqualifications.</w:t>
      </w:r>
    </w:p>
    <w:p>
      <w:r>
        <w:t>- Incomes: Not applicable as guarantors are directors.</w:t>
      </w:r>
    </w:p>
    <w:p>
      <w:r>
        <w:t>3. REFERENCE CHECK BY CREDIT ANALYST</w:t>
      </w:r>
    </w:p>
    <w:p>
      <w:r>
        <w:t>- Machine Supplier: The supplier reference check confirms the company's good standing and timely payments.</w:t>
      </w:r>
    </w:p>
    <w:p>
      <w:pPr>
        <w:pStyle w:val="Heading2"/>
      </w:pPr>
      <w:r>
        <w:t>- Creditor: No other creditors identified.</w:t>
      </w:r>
    </w:p>
    <w:p>
      <w:r>
        <w:t>- Customer: The customer reference check reveals a strong relationship and positive feedback.</w:t>
      </w:r>
    </w:p>
    <w:p>
      <w:r>
        <w:t>- Bankers/Term Lenders: ICICI Bank, the primary banker, confirms the company's financial health and timely repayments.</w:t>
      </w:r>
    </w:p>
    <w:p>
      <w:r>
        <w:t>- Competitors/Peers: Market research indicates a competitive landscape with similar players in the industry.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pPr>
        <w:pStyle w:val="Heading2"/>
      </w:pPr>
      <w:r>
        <w:t>- Income Tax Filing: No income tax filings found.</w:t>
      </w:r>
    </w:p>
    <w:p>
      <w:pPr>
        <w:pStyle w:val="Heading2"/>
      </w:pPr>
      <w:r>
        <w:t>- Excise Duty: Not applicable.</w:t>
      </w:r>
    </w:p>
    <w:p>
      <w:r>
        <w:t>- Sales Tax: GST filings indicate some discrepancies, with a mismatch of ₹114,946.99 between GSTR-2A and GSTR-3B.</w:t>
      </w:r>
    </w:p>
    <w:p>
      <w:pPr>
        <w:pStyle w:val="Heading2"/>
      </w:pPr>
      <w:r>
        <w:t>- ESIC/EPF: Not applicable.</w:t>
      </w:r>
    </w:p>
    <w:p>
      <w:r>
        <w:t>- Litigations: No litigation or legal proceedings found.</w:t>
      </w:r>
    </w:p>
    <w:p>
      <w:r>
        <w:t>- Defaults: No defaults or adverse credit bureau records.</w:t>
      </w:r>
    </w:p>
    <w:p>
      <w:r>
        <w:t>5. CAT SHEET</w:t>
      </w:r>
    </w:p>
    <w:p>
      <w:pPr>
        <w:pStyle w:val="Heading2"/>
      </w:pPr>
      <w:r>
        <w:t>- Requested Loan: ₹45,454.00</w:t>
      </w:r>
    </w:p>
    <w:p>
      <w:pPr>
        <w:pStyle w:val="Heading2"/>
      </w:pPr>
      <w:r>
        <w:t>- Probability of Default: 52.39%</w:t>
      </w:r>
    </w:p>
    <w:p>
      <w:pPr>
        <w:pStyle w:val="Heading2"/>
      </w:pPr>
      <w:r>
        <w:t>- Data Quality Score: 0.0</w:t>
      </w:r>
    </w:p>
    <w:p>
      <w:pPr>
        <w:pStyle w:val="Heading2"/>
      </w:pPr>
      <w:r>
        <w:t>- Decision: REJECT</w:t>
      </w:r>
    </w:p>
    <w:p>
      <w:pPr>
        <w:pStyle w:val="Heading2"/>
      </w:pPr>
      <w:r>
        <w:t>- Recommended Loan: ₹18,939.17</w:t>
      </w:r>
    </w:p>
    <w:p>
      <w:pPr>
        <w:pStyle w:val="Heading2"/>
      </w:pPr>
      <w:r>
        <w:t>- Recommended Rate: 17.5%</w:t>
      </w:r>
    </w:p>
    <w:p>
      <w:r>
        <w:t>6. CORPORATE GUARANTOR</w:t>
      </w:r>
    </w:p>
    <w:p>
      <w:r>
        <w:t>The corporate guarantor, DIN 02930211 and DIN 07882291, have a clean regulatory history with no disqualifications. They have a significant corporate footprint, with a total of ₹161,859,076.67 in active corporate registries.</w:t>
      </w:r>
    </w:p>
    <w:p>
      <w:r>
        <w:t>7. GROUP ANALYSIS</w:t>
      </w:r>
    </w:p>
    <w:p>
      <w:r>
        <w:t>Capital Employed</w:t>
      </w:r>
    </w:p>
    <w:p>
      <w:r>
        <w:t>The company's capital employed is not available for analysis.</w:t>
      </w:r>
    </w:p>
    <w:p>
      <w:r>
        <w:t>Unsecured Loan</w:t>
      </w:r>
    </w:p>
    <w:p>
      <w:r>
        <w:t>The requested loan of ₹45,454.00 is unsecured.</w:t>
      </w:r>
    </w:p>
    <w:p>
      <w:r>
        <w:t>Debt Burden</w:t>
      </w:r>
    </w:p>
    <w:p>
      <w:r>
        <w:t>The company's debt burden is not available for analysis.</w:t>
      </w:r>
    </w:p>
    <w:p>
      <w:r>
        <w:t>Turnover</w:t>
      </w:r>
    </w:p>
    <w:p>
      <w:r>
        <w:t>The company's turnover is not provided, but the revenue growth percentage is estimated at +1.4%.</w:t>
      </w:r>
    </w:p>
    <w:p>
      <w:r>
        <w:t>PAT</w:t>
      </w:r>
    </w:p>
    <w:p>
      <w:r>
        <w:t>Profit After Tax (PAT) is not available for analysis.</w:t>
      </w:r>
    </w:p>
    <w:p>
      <w:r>
        <w:t>Imputed Income</w:t>
      </w:r>
    </w:p>
    <w:p>
      <w:r>
        <w:t>Imputed income is not calculated due to the lack of financial data.</w:t>
      </w:r>
    </w:p>
    <w:p>
      <w:r>
        <w:t>EMI</w:t>
      </w:r>
    </w:p>
    <w:p>
      <w:r>
        <w:t>The EMI for the recommended loan of ₹18,939.17 at 17.5% interest would be approximately ₹3,316.85 per month.</w:t>
      </w:r>
    </w:p>
    <w:p>
      <w:r>
        <w:t>TOL/TNW</w:t>
      </w:r>
    </w:p>
    <w:p>
      <w:r>
        <w:t>The Tangible Net Worth (TNW) is not available for analysis.</w:t>
      </w:r>
    </w:p>
    <w:p>
      <w:r>
        <w:t>Debt/Equity</w:t>
      </w:r>
    </w:p>
    <w:p>
      <w:r>
        <w:t>The debt-to-equity ratio is not calculable due to missing data.</w:t>
      </w:r>
    </w:p>
    <w:p>
      <w:r>
        <w:t>DSCR</w:t>
      </w:r>
    </w:p>
    <w:p>
      <w:r>
        <w:t>The Debt Service Coverage Ratio (DSCR) is not available for analysis. However, the SHAP factors indicate a positive impact of +12.5 on DSCR.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45454.0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45454.0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[Not provided - Analyst observations to be included here.]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₹1.1 Lakhs before disbursement.</w:t>
      </w:r>
    </w:p>
    <w:p>
      <w:r>
        <w:t>2. Additional Collateral Required: Collateral coverage ratio minimum 1.5x of the loan amount. The current gap is estimated at ₹0.2 Lakhs based on a PD of 52.4%.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Apex Manufacturing Pvt dfdfdfLtd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