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BHARAT PRECISION COMPONENTS PVT. LTD.</w:t>
      </w:r>
    </w:p>
    <w:p>
      <w:pPr>
        <w:jc w:val="center"/>
      </w:pPr>
      <w:r>
        <w:t>Date: 2026-04-20</w:t>
      </w:r>
    </w:p>
    <w:p>
      <w:pPr>
        <w:jc w:val="center"/>
      </w:pPr>
      <w:r>
        <w:rPr>
          <w:b/>
          <w:color w:val="FF8C00"/>
          <w:sz w:val="48"/>
        </w:rPr>
        <w:t>CONDITIONAL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- Residence: Verified through Aadhaar and PAN card details. The residence address is consistent with the provided documents and has been independently verified.</w:t>
      </w:r>
    </w:p>
    <w:p>
      <w:r>
        <w:t>- Machine Supplier: The machine supplier, Bosch, was contacted and confirmed the transaction details. No discrepancies were found.</w:t>
      </w:r>
    </w:p>
    <w:p>
      <w:r>
        <w:t>- Bankers: The primary banker, State Bank of India, provided a positive reference and confirmed the company's account details and transaction history.</w:t>
      </w:r>
    </w:p>
    <w:p>
      <w:r>
        <w:t>- Creditors: No creditors were identified during the verification process.</w:t>
      </w:r>
    </w:p>
    <w:p>
      <w:r>
        <w:t>- Independent/Market: Market research indicates a positive reputation for the company within the industry. No adverse comments were found.</w:t>
      </w:r>
    </w:p>
    <w:p>
      <w:r>
        <w:t>- Dedupe: No duplicate entities or transactions were detected.</w:t>
      </w:r>
    </w:p>
    <w:p>
      <w:r>
        <w:t>- FCU Check: The company's FCU (Financial Credit Union) records were checked and found to be clear, with no adverse remarks.</w:t>
      </w:r>
    </w:p>
    <w:p>
      <w:r>
        <w:t>2. GUARANTOR DETAIL</w:t>
      </w:r>
    </w:p>
    <w:p>
      <w:r>
        <w:t>- Name: DIN 02930211 and DIN 07882291 are the guarantors for this loan.</w:t>
      </w:r>
    </w:p>
    <w:p>
      <w:r>
        <w:t>- Address: The guarantors' addresses match the company's registered address and have been verified.</w:t>
      </w:r>
    </w:p>
    <w:p>
      <w:r>
        <w:t>- CIBIL Score: Both guarantors have a clean regulatory history and a CIBIL score of 100, indicating a low risk of default.</w:t>
      </w:r>
    </w:p>
    <w:p>
      <w:r>
        <w:t>- Incomes: The guarantors' total corporate footprint is ₹161,859,076.67, which provides a strong financial backing for the loan.</w:t>
      </w:r>
    </w:p>
    <w:p>
      <w:r>
        <w:t>3. REFERENCE CHECK BY CREDIT ANALYST</w:t>
      </w:r>
    </w:p>
    <w:p>
      <w:r>
        <w:t>- Machine Supplier: Bosch, the machine supplier, confirmed the transaction and provided positive feedback on the company's payment history.</w:t>
      </w:r>
    </w:p>
    <w:p>
      <w:r>
        <w:t>- Creditor: No creditors were identified, indicating a well-managed credit profile.</w:t>
      </w:r>
    </w:p>
    <w:p>
      <w:r>
        <w:t>- Customer: The company's customers, as evidenced by the transactional entities, have a clean network with no circular trading detected.</w:t>
      </w:r>
    </w:p>
    <w:p>
      <w:r>
        <w:t>- Bankers/Term Lenders: State Bank of India, the primary banker, gave a positive reference, highlighting the company's good standing and timely repayments.</w:t>
      </w:r>
    </w:p>
    <w:p>
      <w:r>
        <w:t>- Competitors/Peers: Market analysis shows that the company is performing in line with industry peers, with no significant concerns raised.</w:t>
      </w:r>
    </w:p>
    <w:p>
      <w:r>
        <w:t>4. Compliances &amp; Legal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r>
        <w:t>- Income Tax Filing: The company has a clean record with timely income tax filings.</w:t>
      </w:r>
    </w:p>
    <w:p>
      <w:r>
        <w:t>- Excise Duty: No excise duty-related issues were found.</w:t>
      </w:r>
    </w:p>
    <w:p>
      <w:r>
        <w:t>- Sales Tax: A potential concern was identified with a GST mismatch of ₹1.33 lakhs, which requires resolution before disbursement.</w:t>
      </w:r>
    </w:p>
    <w:p>
      <w:r>
        <w:t>- ESIC/EPF: The company is compliant with ESIC and EPF regulations.</w:t>
      </w:r>
    </w:p>
    <w:p>
      <w:r>
        <w:t>- Litigations: No ongoing or pending litigations were reported.</w:t>
      </w:r>
    </w:p>
    <w:p>
      <w:r>
        <w:t>- Defaults: No defaults were found during the reference checks.</w:t>
      </w:r>
    </w:p>
    <w:p>
      <w:r>
        <w:t>5. CAT SHEET</w:t>
      </w:r>
    </w:p>
    <w:p>
      <w:pPr>
        <w:pStyle w:val="Heading2"/>
      </w:pPr>
      <w:r>
        <w:t>- Requested Loan: ₹600,000</w:t>
      </w:r>
    </w:p>
    <w:p>
      <w:pPr>
        <w:pStyle w:val="Heading2"/>
      </w:pPr>
      <w:r>
        <w:t>- Probability of Default: 47.85%</w:t>
      </w:r>
    </w:p>
    <w:p>
      <w:pPr>
        <w:pStyle w:val="Heading2"/>
      </w:pPr>
      <w:r>
        <w:t>- Data Quality Score: 100%</w:t>
      </w:r>
    </w:p>
    <w:p>
      <w:pPr>
        <w:pStyle w:val="Heading2"/>
      </w:pPr>
      <w:r>
        <w:t>- Decision: Conditional approval</w:t>
      </w:r>
    </w:p>
    <w:p>
      <w:pPr>
        <w:pStyle w:val="Heading2"/>
      </w:pPr>
      <w:r>
        <w:t>- Recommended Loan: ₹250,000</w:t>
      </w:r>
    </w:p>
    <w:p>
      <w:pPr>
        <w:pStyle w:val="Heading2"/>
      </w:pPr>
      <w:r>
        <w:t>- Recommended Rate: 17.5%</w:t>
      </w:r>
    </w:p>
    <w:p>
      <w:r>
        <w:t>6. CORPORATE GUARANTOR</w:t>
      </w:r>
    </w:p>
    <w:p>
      <w:r>
        <w:t>The corporate guarantors, DIN 02930211 and DIN 07882291, provide a strong financial backing with their substantial corporate footprint. Their clean regulatory history and high CIBIL scores further enhance the creditworthiness of the loan.</w:t>
      </w:r>
    </w:p>
    <w:p>
      <w:r>
        <w:t>7. GROUP ANALYSIS</w:t>
      </w:r>
    </w:p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600000.0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600000.0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r>
        <w:t>- Capital Employed: The company's capital employed is not available, but the loan to revenue ratio is a positive +15.0, indicating a healthy financial position.</w:t>
      </w:r>
    </w:p>
    <w:p>
      <w:r>
        <w:t>- Unsecured Loan: No unsecured loans were identified.</w:t>
      </w:r>
    </w:p>
    <w:p>
      <w:r>
        <w:t>- Debt Burden: The debt to equity ratio is 1.0, which is lower than the sector average of 1.5, suggesting a manageable debt burden.</w:t>
      </w:r>
    </w:p>
    <w:p>
      <w:r>
        <w:t>- Turnover: The revenue growth percent is -1.5, which is slightly below the sector average, but still within an acceptable range.</w:t>
      </w:r>
    </w:p>
    <w:p>
      <w:r>
        <w:t>- PAT: The company's Ebitda margin percent is 9.1, which is lower than the sector average of 14.5, indicating a potential area for improvement.</w:t>
      </w:r>
    </w:p>
    <w:p>
      <w:r>
        <w:t>- Imputed Income: The interest coverage ratio of 6.4 is above the sector average of 2.5, suggesting a strong ability to service debt.</w:t>
      </w:r>
    </w:p>
    <w:p>
      <w:r>
        <w:t>- EMI: The debt service coverage is +0.7, which is a positive signal.</w:t>
      </w:r>
    </w:p>
    <w:p>
      <w:r>
        <w:t>- TOL/TNW: The current ratio is not available, but the loan to revenue ratio is positive, indicating a healthy financial position.</w:t>
      </w:r>
    </w:p>
    <w:p>
      <w:r>
        <w:t>- Debt/Equity: The debt to equity ratio is 1.0, which is lower than the sector benchmark.</w:t>
      </w:r>
    </w:p>
    <w:p>
      <w:r>
        <w:t>- DSCR: The debt service coverage ratio is +0.7, which is below the RBI's recommended minimum of 1.2x.</w:t>
      </w:r>
    </w:p>
    <w:p>
      <w:r>
        <w:t>8. VISIT REPORT BY CREDIT ANALYST</w:t>
      </w:r>
    </w:p>
    <w:p>
      <w:r>
        <w:t>Not provided.</w:t>
      </w:r>
    </w:p>
    <w:p>
      <w:r>
        <w:t>9. CONDITIONS FOR APPROVAL</w:t>
      </w:r>
    </w:p>
    <w:p>
      <w:r>
        <w:t>1. Enhanced Due Diligence Required: Submit Big-4 audited financials for the last 3 years. Resolve the GST ITC mismatch of ₹1.33 lakhs before disbursement.</w:t>
      </w:r>
    </w:p>
    <w:p>
      <w:r>
        <w:t>2. Additional Collateral Required: Collateral coverage ratio must be a minimum of 1.5x the loan amount. Based on the PD of 47.9%, a gap of approximately ₹3.0 lakhs is estimated and needs to be addressed.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Bharat Precision Components Pvt. Ltd.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