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2026-04-16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ID, confirming the applicant's residence at the provided address.</w:t>
      </w:r>
    </w:p>
    <w:p>
      <w:r>
        <w:t>- Machine Supplier: Cross-checked with the supplier, Bosch Ltd., who confirmed the purchase of machinery worth ₹85,489.00.</w:t>
      </w:r>
    </w:p>
    <w:p>
      <w:r>
        <w:t>- Bankers: Account statements from HDFC Bank Ltd. were obtained, showing regular transactions and a healthy balance.</w:t>
      </w:r>
    </w:p>
    <w:p>
      <w:r>
        <w:t>- Creditors: Verified with the creditors, who confirmed the applicant's repayment history and current outstanding amounts.</w:t>
      </w:r>
    </w:p>
    <w:p>
      <w:r>
        <w:t>- Independent/Market: Market research indicates a positive outlook for the manufacturing sector, with potential growth opportunities.</w:t>
      </w:r>
    </w:p>
    <w:p>
      <w:r>
        <w:t>- Dedupe: No duplicate applications or fraud signals detected.</w:t>
      </w:r>
    </w:p>
    <w:p>
      <w:r>
        <w:t>- FCU Check: No adverse records found in the FCU database.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r>
        <w:t>- Address: Verified through MCA21 and CIBIL, confirming their clean regulatory history and no disqualifications.</w:t>
      </w:r>
    </w:p>
    <w:p>
      <w:r>
        <w:t>- CIBIL Score: Both guarantors have excellent CIBIL scores, indicating a low risk of default.</w:t>
      </w:r>
    </w:p>
    <w:p>
      <w:r>
        <w:t>- Incomes: The guarantors' combined income is substantial, providing sufficient coverage for the loan obligations.</w:t>
      </w:r>
    </w:p>
    <w:p>
      <w:r>
        <w:t>3. REFERENCE CHECK BY CREDIT ANALYST</w:t>
      </w:r>
    </w:p>
    <w:p>
      <w:r>
        <w:t>- Machine Supplier: Bosch Ltd. confirmed the applicant's good standing and timely payments for previous purchases.</w:t>
      </w:r>
    </w:p>
    <w:p>
      <w:r>
        <w:t>- Creditor: The creditor, HDFC Bank Ltd., provided a positive reference, highlighting the applicant's prompt repayments and low default risk.</w:t>
      </w:r>
    </w:p>
    <w:p>
      <w:r>
        <w:t>- Customer: Customer references indicate satisfaction with the applicant's services and financial stability.</w:t>
      </w:r>
    </w:p>
    <w:p>
      <w:r>
        <w:t>- Bankers/Term Lenders: Bankers and term lenders have a positive outlook on the applicant's financial health and repayment capabilities.</w:t>
      </w:r>
    </w:p>
    <w:p>
      <w:r>
        <w:t>- Competitors/Peers: Market peers and competitors view the applicant as a reliable and trustworthy business partner.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applicant has a clean record with timely income tax filings.</w:t>
      </w:r>
    </w:p>
    <w:p>
      <w:r>
        <w:t>- Excise Duty: No excise duty-related issues were found.</w:t>
      </w:r>
    </w:p>
    <w:p>
      <w:r>
        <w:t>- Sales Tax: Sales tax compliance is up to date, with no outstanding liabilities.</w:t>
      </w:r>
    </w:p>
    <w:p>
      <w:r>
        <w:t>- ESIC/EPF: The applicant is compliant with ESIC and EPF regulations.</w:t>
      </w:r>
    </w:p>
    <w:p>
      <w:r>
        <w:t>- Litigations: No ongoing or pending litigations were discovered.</w:t>
      </w:r>
    </w:p>
    <w:p>
      <w:r>
        <w:t>- Defaults: No defaults or adverse records were reported.</w:t>
      </w:r>
    </w:p>
    <w:p>
      <w:r>
        <w:t>5. CAT SHEET</w:t>
      </w:r>
    </w:p>
    <w:p>
      <w:pPr>
        <w:pStyle w:val="Heading2"/>
      </w:pPr>
      <w:r>
        <w:t>- Loan Amount: ₹3,000,000.00</w:t>
      </w:r>
    </w:p>
    <w:p>
      <w:pPr>
        <w:pStyle w:val="Heading2"/>
      </w:pPr>
      <w:r>
        <w:t>- Recommended Loan: ₹1,250,000.00</w:t>
      </w:r>
    </w:p>
    <w:p>
      <w:pPr>
        <w:pStyle w:val="Heading2"/>
      </w:pPr>
      <w:r>
        <w:t>- Recommended Rate: 17.5%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r>
        <w:t>6. CORPORATE GUARANTOR</w:t>
      </w:r>
    </w:p>
    <w:p>
      <w:pPr>
        <w:pStyle w:val="Heading2"/>
      </w:pPr>
      <w:r>
        <w:t>- Name: 27AAXCS8821K1ZM</w:t>
      </w:r>
    </w:p>
    <w:p>
      <w:r>
        <w:t>- Corporate Structure: The corporate guarantor has a clean and transparent structure, with no signs of circular trading or fraudulent activities.</w:t>
      </w:r>
    </w:p>
    <w:p>
      <w:r>
        <w:t>- Financial Health: Based on the analysis, the corporate guarantor's financial health is stable and supports the loan application.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- Capital Employed: The group's capital employed is ₹161,859,076.67, indicating a strong financial base.</w:t>
      </w:r>
    </w:p>
    <w:p>
      <w:r>
        <w:t>- Unsecured Loan: The group has a moderate level of unsecured loans, which is within acceptable limits.</w:t>
      </w:r>
    </w:p>
    <w:p>
      <w:r>
        <w:t>- Debt Burden: The debt burden is manageable, with a debt-to-equity ratio of 1.5, slightly higher than the sector average of 1.33.</w:t>
      </w:r>
    </w:p>
    <w:p>
      <w:r>
        <w:t>- Turnover: The group's turnover is healthy, with a revenue growth rate of 1.5%, which is lower than the sector average.</w:t>
      </w:r>
    </w:p>
    <w:p>
      <w:r>
        <w:t>- PAT: Profit After Tax (PAT) is satisfactory, and the EBITDA margin is 14.5%, meeting the sector average.</w:t>
      </w:r>
    </w:p>
    <w:p>
      <w:r>
        <w:t>- Imputed Income: Imputed income is sufficient to cover the loan obligations.</w:t>
      </w:r>
    </w:p>
    <w:p>
      <w:r>
        <w:t>- EMI: The proposed EMI is manageable based on the group's financial capacity.</w:t>
      </w:r>
    </w:p>
    <w:p>
      <w:r>
        <w:t>- TOL/TNW: The group's Tangible Net Worth (TNW) is ₹15,000,000.00, and the loan-to-value ratio is within the recommended range.</w:t>
      </w:r>
    </w:p>
    <w:p>
      <w:r>
        <w:t>- Debt/Equity: The debt-to-equity ratio is in line with the sector average.</w:t>
      </w:r>
    </w:p>
    <w:p>
      <w:r>
        <w:t>- DSCR: The Debt Service Coverage Ratio (DSCR) is a concern, as it falls below the recommended level of 1.2x.</w:t>
      </w:r>
    </w:p>
    <w:p>
      <w:r>
        <w:t>8. VISIT REPORT BY CREDIT ANALYST</w:t>
      </w:r>
    </w:p>
    <w:p>
      <w:r>
        <w:t>Based on the financial analysis and fraud signals, a site visit was conducted. The visit confirmed the applicant's operations and financial stability. However, the visit also revealed a potential issue with GST filings, as there was a mismatch of ₹1.35 between GSTR-2A and GSTR-3B, which requires further investigation.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₹0.0 Lakhs before disbursement.</w:t>
      </w:r>
    </w:p>
    <w:p>
      <w:r>
        <w:t>2. Additional Collateral Required: Collateral coverage ratio minimum 1.5x of the loan amount. The current gap is estimated at ₹15.0 Lakhs based on a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