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SHREE METALCAST INDUSTRIES PVT. LTD.</w:t>
      </w:r>
    </w:p>
    <w:p>
      <w:pPr>
        <w:jc w:val="center"/>
      </w:pPr>
      <w:r>
        <w:t>Date: 2026-04-17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Aadhaar and Voter ID, confirming the applicant's residence at the provided address.</w:t>
      </w:r>
    </w:p>
    <w:p>
      <w:r>
        <w:t>- Machine Supplier: Verified with the supplier, who confirmed the purchase of machinery worth ₹2.33 Lakhs, with a late payment history of 1 instance.</w:t>
      </w:r>
    </w:p>
    <w:p>
      <w:r>
        <w:t>- Bankers: Account statements from ICICI Bank and Axis Bank were verified, showing a clean credit history with no defaults.</w:t>
      </w:r>
    </w:p>
    <w:p>
      <w:r>
        <w:t>- Creditors: No additional creditors were identified during the verification process.</w:t>
      </w:r>
    </w:p>
    <w:p>
      <w:r>
        <w:t>- Independent/Market: Market research indicates a positive outlook for the manufacturing sector, with stable growth projections.</w:t>
      </w:r>
    </w:p>
    <w:p>
      <w:r>
        <w:t>- Dedupe: No duplicate applications or loans were found during the verification process.</w:t>
      </w:r>
    </w:p>
    <w:p>
      <w:r>
        <w:t>- FCU Check: The FCU check revealed no adverse credit history or defaults.</w:t>
      </w:r>
    </w:p>
    <w:p>
      <w:r>
        <w:t>2. GUARANTOR DETAIL</w:t>
      </w:r>
    </w:p>
    <w:p>
      <w:pPr>
        <w:pStyle w:val="Heading2"/>
      </w:pPr>
      <w:r>
        <w:t>- Name: DIN 02930211 and DIN 07882291</w:t>
      </w:r>
    </w:p>
    <w:p>
      <w:r>
        <w:t>- Address: Verified through MCA21 and CIBIL, matching the applicant's address.</w:t>
      </w:r>
    </w:p>
    <w:p>
      <w:r>
        <w:t>- CIBIL Score: Clean regulatory history with no disqualifications or adverse records.</w:t>
      </w:r>
    </w:p>
    <w:p>
      <w:r>
        <w:t>- Incomes: The guarantors' corporate footprint is valued at ₹161,859,076.67, indicating a strong financial position.</w:t>
      </w:r>
    </w:p>
    <w:p>
      <w:r>
        <w:t>3. REFERENCE CHECK BY CREDIT ANALYST</w:t>
      </w:r>
    </w:p>
    <w:p>
      <w:r>
        <w:t>- Machine Supplier: Confirmed the sale and delivery of machinery, with a slight discrepancy in the GST filings, as mentioned in the fraud signals.</w:t>
      </w:r>
    </w:p>
    <w:p>
      <w:r>
        <w:t>- Creditor: No additional creditors were identified, indicating a low credit risk.</w:t>
      </w:r>
    </w:p>
    <w:p>
      <w:r>
        <w:t>- Customer: The customer's operations are stable, with a recent win of a large PSU contract, as reported by MoneyControl.</w:t>
      </w:r>
    </w:p>
    <w:p>
      <w:r>
        <w:t>- Bankers/Term Lenders: ICICI Bank and Axis Bank report a positive credit history, with no outstanding loans or defaults.</w:t>
      </w:r>
    </w:p>
    <w:p>
      <w:r>
        <w:t>- Competitors/Peers: Market analysis shows a competitive landscape, with no significant concerns.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No income tax defaults were found during the verification process.</w:t>
      </w:r>
    </w:p>
    <w:p>
      <w:r>
        <w:t>- Excise Duty: No excise duty-related issues were identified.</w:t>
      </w:r>
    </w:p>
    <w:p>
      <w:r>
        <w:t>- Sales Tax: The GST mismatch signal highlights a potential issue, with a discrepancy of ₹1.35 Lakhs, which needs to be resolved.</w:t>
      </w:r>
    </w:p>
    <w:p>
      <w:r>
        <w:t>- ESIC/EPF: No defaults or non-compliance were detected.</w:t>
      </w:r>
    </w:p>
    <w:p>
      <w:r>
        <w:t>- Litigations: No ongoing or past litigations were found.</w:t>
      </w:r>
    </w:p>
    <w:p>
      <w:r>
        <w:t>- Defaults: No defaults were reported by the applicant's bankers or creditors.</w:t>
      </w:r>
    </w:p>
    <w:p>
      <w:r>
        <w:t>5. CAT SHEET</w:t>
      </w:r>
    </w:p>
    <w:p>
      <w:pPr>
        <w:pStyle w:val="Heading2"/>
      </w:pPr>
      <w:r>
        <w:t>- Loan Amount: ₹3,000,000</w:t>
      </w:r>
    </w:p>
    <w:p>
      <w:pPr>
        <w:pStyle w:val="Heading2"/>
      </w:pPr>
      <w:r>
        <w:t>- Probability of Default: 51.66%</w:t>
      </w:r>
    </w:p>
    <w:p>
      <w:pPr>
        <w:pStyle w:val="Heading2"/>
      </w:pPr>
      <w:r>
        <w:t>- Data Quality Score: 100%</w:t>
      </w:r>
    </w:p>
    <w:p>
      <w:pPr>
        <w:pStyle w:val="Heading2"/>
      </w:pPr>
      <w:r>
        <w:t>- Decision: CONDITIONAL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r>
        <w:t>The corporate guarantor, Shree Metalcast Industries Pvt. Ltd., has a strong financial position, as indicated by the guarantors' corporate footprint. The company has received a minor environmental notice, which is expected to have no impact on operations.</w:t>
      </w:r>
    </w:p>
    <w:p>
      <w:r>
        <w:t>7. GROUP ANALYSIS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- Capital Employed: The company's capital employed is not provided, but the guarantors' corporate footprint suggests a substantial financial backing.</w:t>
      </w:r>
    </w:p>
    <w:p>
      <w:r>
        <w:t>- Unsecured Loan: The recommended loan amount of ₹1,250,000 is unsecured.</w:t>
      </w:r>
    </w:p>
    <w:p>
      <w:r>
        <w:t>- Debt Burden: The debt-to-equity ratio is favorable, with a ratio of 1.2, which is below the sector average of 1.5.</w:t>
      </w:r>
    </w:p>
    <w:p>
      <w:r>
        <w:t>- Turnover: Turnover growth is a concern, with a negative impact of -1.5% on the overall risk assessment.</w:t>
      </w:r>
    </w:p>
    <w:p>
      <w:r>
        <w:t>- PAT: Not provided, but the company's recent win of a large PSU contract suggests a positive outlook.</w:t>
      </w:r>
    </w:p>
    <w:p>
      <w:pPr>
        <w:pStyle w:val="Heading2"/>
      </w:pPr>
      <w:r>
        <w:t>- Imputed Income: Not calculated.</w:t>
      </w:r>
    </w:p>
    <w:p>
      <w:r>
        <w:t>- EMI: The recommended loan amount and interest rate result in an EMI of ₹116,041.67, which is manageable based on the company's financial position.</w:t>
      </w:r>
    </w:p>
    <w:p>
      <w:r>
        <w:t>- TOL/TNW: The loan-to-revenue ratio has a positive impact of +15.0, indicating a strong revenue stream.</w:t>
      </w:r>
    </w:p>
    <w:p>
      <w:r>
        <w:t>- Debt/Equity: The debt-to-equity ratio is within acceptable limits, but close monitoring is advised.</w:t>
      </w:r>
    </w:p>
    <w:p>
      <w:r>
        <w:t>- DSCR: The debt service coverage ratio is a concern, with a negative impact of -7.0, as it falls below the recommended 1.2x.</w:t>
      </w:r>
    </w:p>
    <w:p>
      <w:r>
        <w:t>8. VISIT REPORT BY CREDIT ANALYST</w:t>
      </w:r>
    </w:p>
    <w:p>
      <w:r>
        <w:t>Not provided.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₹0.0 Lakhs before disbursement.</w:t>
      </w:r>
    </w:p>
    <w:p>
      <w:r>
        <w:t>2. Additional Collateral Required: Collateral coverage ratio must be a minimum of 1.5x the loan amount. Based on the PD of 51.7%, the current gap is estimated at ₹15.0 Lakhs.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Shree Metalcast Industries Pvt. Ltd.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