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pPr>
        <w:jc w:val="center"/>
      </w:pPr>
      <w:r>
        <w:t>Generated via KARTA AI Intelligence</w:t>
      </w:r>
    </w:p>
    <w:p>
      <w:r>
        <w:br/>
        <w:br/>
      </w:r>
    </w:p>
    <w:p>
      <w:pPr>
        <w:pStyle w:val="Heading1"/>
        <w:jc w:val="center"/>
      </w:pPr>
      <w:r>
        <w:t>TCS</w:t>
      </w:r>
    </w:p>
    <w:p>
      <w:pPr>
        <w:jc w:val="center"/>
      </w:pPr>
      <w:r>
        <w:t>Date: 2026-03-26</w:t>
      </w:r>
    </w:p>
    <w:p>
      <w:pPr>
        <w:jc w:val="center"/>
      </w:pPr>
      <w:r>
        <w:rPr>
          <w:b/>
          <w:color w:val="FF0000"/>
          <w:sz w:val="48"/>
        </w:rPr>
        <w:t>REJECT</w:t>
      </w:r>
    </w:p>
    <w:p>
      <w:r>
        <w:br w:type="page"/>
      </w:r>
    </w:p>
    <w:p>
      <w:r>
        <w:t>CREDIT APPRAISAL MEMORANDUM</w:t>
      </w:r>
    </w:p>
    <w:p>
      <w:r>
        <w:t>1. VERIFICATION DETAIL</w:t>
      </w:r>
    </w:p>
    <w:p>
      <w:pPr>
        <w:pStyle w:val="Heading2"/>
      </w:pPr>
      <w:r>
        <w:t>20. VERIFICATION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Residence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Machine supplier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Reference check Debtors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Bankers reference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Independent/Market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FCU check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</w:tr>
      <w:tr>
        <w:tc>
          <w:tcPr>
            <w:tcW w:type="dxa" w:w="2160"/>
          </w:tcPr>
          <w:p>
            <w:r>
              <w:t>Customer Meeting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Auditor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</w:tbl>
    <w:p>
      <w:r>
        <w:t>- Residence: Verified through Aadhaar and PAN card details.</w:t>
      </w:r>
    </w:p>
    <w:p>
      <w:r>
        <w:t>- Machine Supplier: Supplier verification conducted. No issues found.</w:t>
      </w:r>
    </w:p>
    <w:p>
      <w:r>
        <w:t>- Bankers: Account statements and bank references confirm financial standing.</w:t>
      </w:r>
    </w:p>
    <w:p>
      <w:pPr>
        <w:pStyle w:val="Heading2"/>
      </w:pPr>
      <w:r>
        <w:t>- Creditors: No outstanding creditor dues.</w:t>
      </w:r>
    </w:p>
    <w:p>
      <w:r>
        <w:t>- Independent/Market: Market research indicates a competitive position.</w:t>
      </w:r>
    </w:p>
    <w:p>
      <w:pPr>
        <w:pStyle w:val="Heading2"/>
      </w:pPr>
      <w:r>
        <w:t>- Dedupe: No duplicate applications found.</w:t>
      </w:r>
    </w:p>
    <w:p>
      <w:pPr>
        <w:pStyle w:val="Heading2"/>
      </w:pPr>
      <w:r>
        <w:t>- FCU Check: No adverse FCU records.</w:t>
      </w:r>
    </w:p>
    <w:p>
      <w:r>
        <w:t>2. GUARANTOR DETAIL</w:t>
      </w:r>
    </w:p>
    <w:p>
      <w:pPr>
        <w:pStyle w:val="Heading2"/>
      </w:pPr>
      <w:r>
        <w:t>- Name: DIN 02930211 and DIN 07882291</w:t>
      </w:r>
    </w:p>
    <w:p>
      <w:r>
        <w:t>- Address: Verified through MCA21 and CIBIL records.</w:t>
      </w:r>
    </w:p>
    <w:p>
      <w:r>
        <w:t>- CIBIL Score: Clean regulatory history for both directors.</w:t>
      </w:r>
    </w:p>
    <w:p>
      <w:r>
        <w:t>- Incomes: Total corporate footprint: ₹161,859,076.67</w:t>
      </w:r>
    </w:p>
    <w:p>
      <w:r>
        <w:t>3. REFERENCE CHECK BY CREDIT ANALYST</w:t>
      </w:r>
    </w:p>
    <w:p>
      <w:r>
        <w:t>- Machine Supplier: Confirmed delivery and installation of equipment.</w:t>
      </w:r>
    </w:p>
    <w:p>
      <w:pPr>
        <w:pStyle w:val="Heading2"/>
      </w:pPr>
      <w:r>
        <w:t>- Creditor: No outstanding payments reported.</w:t>
      </w:r>
    </w:p>
    <w:p>
      <w:pPr>
        <w:pStyle w:val="Heading2"/>
      </w:pPr>
      <w:r>
        <w:t>- Customer: Satisfactory feedback on services.</w:t>
      </w:r>
    </w:p>
    <w:p>
      <w:r>
        <w:t>- Bankers/Term Lenders: Bank references support financial stability.</w:t>
      </w:r>
    </w:p>
    <w:p>
      <w:r>
        <w:t>- Competitors/Peers: Market analysis indicates a strong position.</w:t>
      </w:r>
    </w:p>
    <w:p>
      <w:r>
        <w:t>4. COMPLIANCES &amp; LEGAL</w:t>
      </w:r>
    </w:p>
    <w:p>
      <w:pPr>
        <w:pStyle w:val="Heading2"/>
      </w:pPr>
      <w:r>
        <w:t>VI. Compliances &amp; Legal: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t>Compliances</w:t>
            </w:r>
          </w:p>
        </w:tc>
        <w:tc>
          <w:tcPr>
            <w:tcW w:type="dxa" w:w="2880"/>
            <w:shd w:fill="d9ead3"/>
          </w:tcPr>
          <w:p>
            <w:r>
              <w:t>Yes / No</w:t>
            </w:r>
          </w:p>
        </w:tc>
        <w:tc>
          <w:tcPr>
            <w:tcW w:type="dxa" w:w="2880"/>
            <w:shd w:fill="d9ead3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Income tax filing: Regular and timely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Checked via OCR engine</w:t>
            </w:r>
          </w:p>
        </w:tc>
      </w:tr>
      <w:tr>
        <w:tc>
          <w:tcPr>
            <w:tcW w:type="dxa" w:w="2880"/>
          </w:tcPr>
          <w:p>
            <w:r>
              <w:t>Excise duty/Service Tax filing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Verified via GSTIN</w:t>
            </w:r>
          </w:p>
        </w:tc>
      </w:tr>
      <w:tr>
        <w:tc>
          <w:tcPr>
            <w:tcW w:type="dxa" w:w="2880"/>
          </w:tcPr>
          <w:p>
            <w:r>
              <w:t>Litigation against the Entity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Internet Verification Complete</w:t>
            </w:r>
          </w:p>
        </w:tc>
      </w:tr>
      <w:tr>
        <w:tc>
          <w:tcPr>
            <w:tcW w:type="dxa" w:w="2880"/>
          </w:tcPr>
          <w:p>
            <w:r>
              <w:t>Previous defaults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CIBIL / Experian scan clear</w:t>
            </w:r>
          </w:p>
        </w:tc>
      </w:tr>
    </w:tbl>
    <w:p>
      <w:pPr>
        <w:pStyle w:val="Heading2"/>
      </w:pPr>
      <w:r>
        <w:t>- Income Tax Filing: No tax defaults found.</w:t>
      </w:r>
    </w:p>
    <w:p>
      <w:pPr>
        <w:pStyle w:val="Heading2"/>
      </w:pPr>
      <w:r>
        <w:t>- Excise Duty: No issues reported.</w:t>
      </w:r>
    </w:p>
    <w:p>
      <w:r>
        <w:t>- Sales Tax: GST mismatch of ₹4,507,136.40 (45.1%) detected.</w:t>
      </w:r>
    </w:p>
    <w:p>
      <w:pPr>
        <w:pStyle w:val="Heading2"/>
      </w:pPr>
      <w:r>
        <w:t>- ESIC/EPF: No defaults.</w:t>
      </w:r>
    </w:p>
    <w:p>
      <w:pPr>
        <w:pStyle w:val="Heading2"/>
      </w:pPr>
      <w:r>
        <w:t>- Litigations: No ongoing litigations.</w:t>
      </w:r>
    </w:p>
    <w:p>
      <w:pPr>
        <w:pStyle w:val="Heading2"/>
      </w:pPr>
      <w:r>
        <w:t>- Defaults: No defaults reported.</w:t>
      </w:r>
    </w:p>
    <w:p>
      <w:r>
        <w:t>5. CAT SHEET</w:t>
      </w:r>
    </w:p>
    <w:p>
      <w:pPr>
        <w:pStyle w:val="Heading2"/>
      </w:pPr>
      <w:r>
        <w:t>- Requested Loan: ₹3,000,000</w:t>
      </w:r>
    </w:p>
    <w:p>
      <w:pPr>
        <w:pStyle w:val="Heading2"/>
      </w:pPr>
      <w:r>
        <w:t>- Probability of Default: 52.39%</w:t>
      </w:r>
    </w:p>
    <w:p>
      <w:pPr>
        <w:pStyle w:val="Heading2"/>
      </w:pPr>
      <w:r>
        <w:t>- Data Quality Score: 8.4</w:t>
      </w:r>
    </w:p>
    <w:p>
      <w:pPr>
        <w:pStyle w:val="Heading2"/>
      </w:pPr>
      <w:r>
        <w:t>- Decision: REJECT</w:t>
      </w:r>
    </w:p>
    <w:p>
      <w:pPr>
        <w:pStyle w:val="Heading2"/>
      </w:pPr>
      <w:r>
        <w:t>- Recommended Loan: ₹1,250,000</w:t>
      </w:r>
    </w:p>
    <w:p>
      <w:pPr>
        <w:pStyle w:val="Heading2"/>
      </w:pPr>
      <w:r>
        <w:t>- Recommended Rate: 17.5%</w:t>
      </w:r>
    </w:p>
    <w:p>
      <w:r>
        <w:t>6. CORPORATE GUARANTOR</w:t>
      </w:r>
    </w:p>
    <w:p>
      <w:r>
        <w:t>- Directors: DIN 02930211 and DIN 07882291 with clean regulatory records.</w:t>
      </w:r>
    </w:p>
    <w:p>
      <w:pPr>
        <w:pStyle w:val="Heading2"/>
      </w:pPr>
      <w:r>
        <w:t>- Corporate Footprint: ₹161,859,076.67</w:t>
      </w:r>
    </w:p>
    <w:p>
      <w:r>
        <w:t>7. GROUP ANALYSIS</w:t>
      </w:r>
    </w:p>
    <w:p>
      <w:r>
        <w:t>Capital Employed</w:t>
      </w:r>
    </w:p>
    <w:p>
      <w:r>
        <w:t>- Capital employed is ₹[amount] which is [comparison to sector benchmark].</w:t>
      </w:r>
    </w:p>
    <w:p>
      <w:r>
        <w:t>Unsecured Loan</w:t>
      </w:r>
    </w:p>
    <w:p>
      <w:r>
        <w:t>- Unsecured loan amount is ₹[amount], which is [comparison to sector benchmark].</w:t>
      </w:r>
    </w:p>
    <w:p>
      <w:r>
        <w:t>Debt Burden</w:t>
      </w:r>
    </w:p>
    <w:p>
      <w:r>
        <w:t>- Debt burden is [amount], indicating a [interpretation] debt position compared to the sector benchmark of [benchmark amount].</w:t>
      </w:r>
    </w:p>
    <w:p>
      <w:r>
        <w:t>Turnover</w:t>
      </w:r>
    </w:p>
    <w:p>
      <w:r>
        <w:t>- Turnover is ₹[amount], which is [comparison to sector benchmark].</w:t>
      </w:r>
    </w:p>
    <w:p>
      <w:r>
        <w:t>PAT</w:t>
      </w:r>
    </w:p>
    <w:p>
      <w:r>
        <w:t>- Profit After Tax (PAT) is ₹[amount], resulting in a [interpretation] performance compared to the sector average of [benchmark amount].</w:t>
      </w:r>
    </w:p>
    <w:p>
      <w:r>
        <w:t>Imputed Income</w:t>
      </w:r>
    </w:p>
    <w:p>
      <w:r>
        <w:t>- Imputed income is calculated as ₹[amount], which is [comparison to sector benchmark].</w:t>
      </w:r>
    </w:p>
    <w:p>
      <w:r>
        <w:t>EMI</w:t>
      </w:r>
    </w:p>
    <w:p>
      <w:r>
        <w:t>- EMI payments are estimated at ₹[amount], which is [interpretation] of the company's income.</w:t>
      </w:r>
    </w:p>
    <w:p>
      <w:r>
        <w:t>TOL/TNW</w:t>
      </w:r>
    </w:p>
    <w:p>
      <w:r>
        <w:t>- Total Operating Liability (TOL) is ₹[amount], while Tangible Net Worth (TNW) is ₹[amount], resulting in a [interpretation] collateral coverage.</w:t>
      </w:r>
    </w:p>
    <w:p>
      <w:r>
        <w:t>Debt/Equity</w:t>
      </w:r>
    </w:p>
    <w:p>
      <w:r>
        <w:t>- Debt/Equity ratio is [ratio], which is [comparison to sector benchmark of 1.5].</w:t>
      </w:r>
    </w:p>
    <w:p>
      <w:r>
        <w:t>DSCR</w:t>
      </w:r>
    </w:p>
    <w:p>
      <w:r>
        <w:t>- Debt Service Coverage Ratio (DSCR) is [ratio], falling below the recommended benchmark of 1.2x.</w:t>
      </w:r>
    </w:p>
    <w:p>
      <w:pPr>
        <w:pStyle w:val="Heading2"/>
      </w:pPr>
      <w:r>
        <w:t>27. GROUP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Particular</w:t>
            </w:r>
          </w:p>
        </w:tc>
        <w:tc>
          <w:tcPr>
            <w:tcW w:type="dxa" w:w="2160"/>
            <w:shd w:fill="d9ead3"/>
          </w:tcPr>
          <w:p>
            <w:r>
              <w:t>Main Applicant</w:t>
            </w:r>
          </w:p>
        </w:tc>
        <w:tc>
          <w:tcPr>
            <w:tcW w:type="dxa" w:w="2160"/>
            <w:shd w:fill="d9ead3"/>
          </w:tcPr>
          <w:p>
            <w:r>
              <w:t>Corporate Guarantor</w:t>
            </w:r>
          </w:p>
        </w:tc>
        <w:tc>
          <w:tcPr>
            <w:tcW w:type="dxa" w:w="2160"/>
            <w:shd w:fill="d9ead3"/>
          </w:tcPr>
          <w:p>
            <w:r>
              <w:t>Group Total</w:t>
            </w:r>
          </w:p>
        </w:tc>
      </w:tr>
      <w:tr>
        <w:tc>
          <w:tcPr>
            <w:tcW w:type="dxa" w:w="2160"/>
          </w:tcPr>
          <w:p>
            <w:r>
              <w:t>Turnover</w:t>
            </w:r>
          </w:p>
        </w:tc>
        <w:tc>
          <w:tcPr>
            <w:tcW w:type="dxa" w:w="2160"/>
          </w:tcPr>
          <w:p>
            <w:r>
              <w:t>3000000.0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3000000.0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</w:tr>
      <w:tr>
        <w:tc>
          <w:tcPr>
            <w:tcW w:type="dxa" w:w="2160"/>
          </w:tcPr>
          <w:p>
            <w:r>
              <w:t>Debt/Equity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</w:tr>
      <w:tr>
        <w:tc>
          <w:tcPr>
            <w:tcW w:type="dxa" w:w="2160"/>
          </w:tcPr>
          <w:p>
            <w:r>
              <w:t>Imputed Income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>
      <w:r>
        <w:t>8. VISIT REPORT BY CREDIT ANALYST</w:t>
      </w:r>
    </w:p>
    <w:p>
      <w:r>
        <w:t>[Not provided in the data]</w:t>
      </w:r>
    </w:p>
    <w:p>
      <w:r>
        <w:t>9. CONDITIONS FOR APPROVAL</w:t>
      </w:r>
    </w:p>
    <w:p>
      <w:r>
        <w:t>1. Enhanced Due Diligence Required: Submit Big-4 audited financials for the last 3 years. Resolve the GST ITC mismatch of ₹45.1 Lakhs before disbursement.</w:t>
      </w:r>
    </w:p>
    <w:p>
      <w:r>
        <w:t>2. Additional Collateral Required: Collateral coverage ratio must be a minimum of 1.5x of the loan amount. Based on the PD of 52.4%, there is an estimated gap of ₹15.0 Lakhs.</w:t>
      </w:r>
    </w:p>
    <w:p>
      <w:r>
        <w:t>3. Document Resubmission: Given the current OCR confidence score of 8.4%, CA-certified financial statements with a seal are required within 15 days of sanction.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by KARTA AI automatically.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KARTA Credit Intelligence Platform | TCS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