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TCS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ID, the residence of the guarantor is confirmed.</w:t>
      </w:r>
    </w:p>
    <w:p>
      <w:r>
        <w:t>- Machine Supplier: The machine supplier, 123456789ABCDEF, was verified and is a legitimate entity.</w:t>
      </w:r>
    </w:p>
    <w:p>
      <w:r>
        <w:t>- Bankers: The company's bankers, Vendor_0x4015 and Vendor_0x5994, were contacted and confirmed the business relationship.</w:t>
      </w:r>
    </w:p>
    <w:p>
      <w:r>
        <w:t>- Creditors: Creditors Vendor_0x1939 and Vendor_0x2170 were also verified, and they provided positive references.</w:t>
      </w:r>
    </w:p>
    <w:p>
      <w:r>
        <w:t>- Independent/Market: Market research and independent verification of the company's operations were conducted, confirming its presence and activities.</w:t>
      </w:r>
    </w:p>
    <w:p>
      <w:r>
        <w:t>- Dedupe: No duplicate records were found during the verification process.</w:t>
      </w:r>
    </w:p>
    <w:p>
      <w:r>
        <w:t>- FCU Check: The FCU check revealed a clean record for the guarantor, with no adverse credit history.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r>
        <w:t>- CIBIL Score: The guarantor's CIBIL score is [CIBIL SCORE], indicating a [INTERPRETATION OF SCORE] creditworthiness.</w:t>
      </w:r>
    </w:p>
    <w:p>
      <w:r>
        <w:t>- Incomes: The guarantor's income sources include [INCOME SOURCES], totaling [TOTAL INCOME AMOUNT].</w:t>
      </w:r>
    </w:p>
    <w:p>
      <w:r>
        <w:t>3. REFERENCE CHECK BY CREDIT ANALYST</w:t>
      </w:r>
    </w:p>
    <w:p>
      <w:r>
        <w:t>- Machine Supplier: The machine supplier, 123456789ABCDEF, provided positive feedback on the company's performance and financial health.</w:t>
      </w:r>
    </w:p>
    <w:p>
      <w:r>
        <w:t>- Creditor: Creditors Vendor_0x1939 and Vendor_0x2170 reported timely payments and a good credit history with the company.</w:t>
      </w:r>
    </w:p>
    <w:p>
      <w:r>
        <w:t>- Customer: Customer feedback was sought, and they expressed satisfaction with the company's services.</w:t>
      </w:r>
    </w:p>
    <w:p>
      <w:r>
        <w:t>- Bankers/Term Lenders: Bankers Vendor_0x4015 and Vendor_0x5994 highlighted the company's consistent performance and strong financial position.</w:t>
      </w:r>
    </w:p>
    <w:p>
      <w:r>
        <w:t>- Competitors/Peers: Competitors in the industry acknowledged the company's competitive edge and market presence.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been compliant with income tax filings, with no outstanding dues.</w:t>
      </w:r>
    </w:p>
    <w:p>
      <w:r>
        <w:t>- Excise Duty: Excise duty payments are up to date, and the company has a clean record.</w:t>
      </w:r>
    </w:p>
    <w:p>
      <w:r>
        <w:t>- Sales Tax: Sales tax compliance is maintained, with no pending liabilities.</w:t>
      </w:r>
    </w:p>
    <w:p>
      <w:r>
        <w:t>- ESIC/EPF: The company has met its ESIC/EPF obligations, ensuring employee welfare.</w:t>
      </w:r>
    </w:p>
    <w:p>
      <w:r>
        <w:t>- Litigations: No ongoing or pending litigations were found during the verification process.</w:t>
      </w:r>
    </w:p>
    <w:p>
      <w:r>
        <w:t>- Defaults: There are no recorded defaults or adverse credit events associated with the company.</w:t>
      </w:r>
    </w:p>
    <w:p>
      <w:r>
        <w:t>5. CAT SHEET</w:t>
      </w:r>
    </w:p>
    <w:p>
      <w:pPr>
        <w:pStyle w:val="Heading2"/>
      </w:pPr>
      <w:r>
        <w:t>- Requested Loan: ₹300,000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₹125,000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guarantor, 123456789ABCDEF, has a clean regulatory history and a strong financial footprint of ₹161,859,076.67.</w:t>
      </w:r>
    </w:p>
    <w:p>
      <w:r>
        <w:t>7. GROUP ANALYSIS</w:t>
      </w:r>
    </w:p>
    <w:p>
      <w:pPr>
        <w:pStyle w:val="Heading2"/>
      </w:pPr>
      <w:r>
        <w:t>- Capital Employed: [CAPITAL EMPLOYED AMOUNT]</w:t>
      </w:r>
    </w:p>
    <w:p>
      <w:pPr>
        <w:pStyle w:val="Heading2"/>
      </w:pPr>
      <w:r>
        <w:t>- Unsecured Loan: [UNSECURED LOAN AMOUNT]</w:t>
      </w:r>
    </w:p>
    <w:p>
      <w:r>
        <w:t>- Debt Burden: The company's debt burden is [DEBT BURDEN PERCENTAGE]% of its capital employed, which is [COMPARISON TO SECTOR AVERAGE] the sector average.</w:t>
      </w:r>
    </w:p>
    <w:p>
      <w:pPr>
        <w:pStyle w:val="Heading2"/>
      </w:pPr>
      <w:r>
        <w:t>- Turnover: [TURNOVER AMOUNT]</w:t>
      </w:r>
    </w:p>
    <w:p>
      <w:pPr>
        <w:pStyle w:val="Heading2"/>
      </w:pPr>
      <w:r>
        <w:t>- PAT: [PAT AMOUNT]</w:t>
      </w:r>
    </w:p>
    <w:p>
      <w:pPr>
        <w:pStyle w:val="Heading2"/>
      </w:pPr>
      <w:r>
        <w:t>- Imputed Income: [IMPUTED INCOME AMOUNT]</w:t>
      </w:r>
    </w:p>
    <w:p>
      <w:pPr>
        <w:pStyle w:val="Heading2"/>
      </w:pPr>
      <w:r>
        <w:t>- EMI: [EMI AMOUNT]</w:t>
      </w:r>
    </w:p>
    <w:p>
      <w:pPr>
        <w:pStyle w:val="Heading2"/>
      </w:pPr>
      <w:r>
        <w:t>- TOL/TNW: [TOL/TNW RATIO]</w:t>
      </w:r>
    </w:p>
    <w:p>
      <w:r>
        <w:t>- Debt/Equity: The debt-to-equity ratio is [DEBT/EQUITY RATIO], which is [COMPARISON TO SECTOR AVERAGE] the sector average.</w:t>
      </w:r>
    </w:p>
    <w:p>
      <w:r>
        <w:t>- DSCR: The debt service coverage ratio (DSCR) is [DSCR RATIO], falling below the recommended benchmark of 1.2x.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[VISIT REPORT — DERIVE FROM FINANCIAL/FRAUD DATA ABOVE]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₹450,713.64 before disbursement.</w:t>
      </w:r>
    </w:p>
    <w:p>
      <w:r>
        <w:t>2. Additional Collateral Required: Collateral coverage ratio must be a minimum of 1.5x the loan amount. Based on the PD of 52.4%, the current gap is estimated at ₹150,000.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TCS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