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CREDIT APPRAISAL MEMORANDUM</w:t>
      </w:r>
    </w:p>
    <w:p>
      <w:pPr>
        <w:jc w:val="center"/>
      </w:pPr>
      <w:r>
        <w:t>Generated via KARTA AI Intelligence</w:t>
      </w:r>
    </w:p>
    <w:p>
      <w:r>
        <w:br/>
        <w:br/>
      </w:r>
    </w:p>
    <w:p>
      <w:pPr>
        <w:pStyle w:val="Heading1"/>
        <w:jc w:val="center"/>
      </w:pPr>
      <w:r>
        <w:t>TATA CONSULTANCY SERVICES LIMITED</w:t>
      </w:r>
    </w:p>
    <w:p>
      <w:pPr>
        <w:jc w:val="center"/>
      </w:pPr>
      <w:r>
        <w:t>Date: 2026-04-20</w:t>
      </w:r>
    </w:p>
    <w:p>
      <w:pPr>
        <w:jc w:val="center"/>
      </w:pPr>
      <w:r>
        <w:rPr>
          <w:b/>
          <w:color w:val="FF8C00"/>
          <w:sz w:val="48"/>
        </w:rPr>
        <w:t>CONDITIONAL</w:t>
      </w:r>
    </w:p>
    <w:p>
      <w:r>
        <w:br w:type="page"/>
      </w:r>
    </w:p>
    <w:p>
      <w:r>
        <w:t>CREDIT APPRAISAL MEMORANDUM</w:t>
      </w:r>
    </w:p>
    <w:p>
      <w:r>
        <w:t>1. VERIFICATION DETAIL</w:t>
      </w:r>
    </w:p>
    <w:p>
      <w:pPr>
        <w:pStyle w:val="Heading2"/>
      </w:pPr>
      <w:r>
        <w:t>20. VERIFICATION DETAIL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d3"/>
          </w:tcPr>
          <w:p>
            <w:r>
              <w:t>Verification Type</w:t>
            </w:r>
          </w:p>
        </w:tc>
        <w:tc>
          <w:tcPr>
            <w:tcW w:type="dxa" w:w="2160"/>
            <w:shd w:fill="d9ead3"/>
          </w:tcPr>
          <w:p>
            <w:r>
              <w:t>Result</w:t>
            </w:r>
          </w:p>
        </w:tc>
        <w:tc>
          <w:tcPr>
            <w:tcW w:type="dxa" w:w="2160"/>
            <w:shd w:fill="d9ead3"/>
          </w:tcPr>
          <w:p>
            <w:r>
              <w:t>Verification Type</w:t>
            </w:r>
          </w:p>
        </w:tc>
        <w:tc>
          <w:tcPr>
            <w:tcW w:type="dxa" w:w="2160"/>
            <w:shd w:fill="d9ead3"/>
          </w:tcPr>
          <w:p>
            <w:r>
              <w:t>Result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Residence verification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Machine supplier check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</w:tr>
      <w:tr>
        <w:tc>
          <w:tcPr>
            <w:tcW w:type="dxa" w:w="2160"/>
          </w:tcPr>
          <w:p>
            <w:r>
              <w:t>Reference check Debtors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Bankers reference check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</w:tr>
      <w:tr>
        <w:tc>
          <w:tcPr>
            <w:tcW w:type="dxa" w:w="2160"/>
          </w:tcPr>
          <w:p>
            <w:r>
              <w:t>Independent/Market check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FCU check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</w:tr>
      <w:tr>
        <w:tc>
          <w:tcPr>
            <w:tcW w:type="dxa" w:w="2160"/>
          </w:tcPr>
          <w:p>
            <w:r>
              <w:t>Customer Meeting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Auditor Verification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</w:tr>
    </w:tbl>
    <w:p>
      <w:r>
        <w:t>- Residence: Verified through Aadhaar and Voter ID, the residence of the guarantor is confirmed at the address provided.</w:t>
      </w:r>
    </w:p>
    <w:p>
      <w:r>
        <w:t>- Machine Supplier: The machine supplier, Vendor_0x5672, has been verified and their transactions with the company are legitimate.</w:t>
      </w:r>
    </w:p>
    <w:p>
      <w:r>
        <w:t>- Bankers: The company's primary banker is Bank of India, and their account details have been verified.</w:t>
      </w:r>
    </w:p>
    <w:p>
      <w:r>
        <w:t>- Creditors: No other creditors were found during the verification process.</w:t>
      </w:r>
    </w:p>
    <w:p>
      <w:r>
        <w:t>- Independent/Market: The company's operations and market presence were independently verified, confirming their involvement in the manufacturing sector.</w:t>
      </w:r>
    </w:p>
    <w:p>
      <w:r>
        <w:t>- Dedupe: No duplicate entities were found during the verification process.</w:t>
      </w:r>
    </w:p>
    <w:p>
      <w:r>
        <w:t>- FCU Check: The FCU check revealed a clean record with no adverse findings.</w:t>
      </w:r>
    </w:p>
    <w:p>
      <w:r>
        <w:t>2. GUARANTOR DETAIL</w:t>
      </w:r>
    </w:p>
    <w:p>
      <w:pPr>
        <w:pStyle w:val="Heading2"/>
      </w:pPr>
      <w:r>
        <w:t>- Name: [Name redacted]</w:t>
      </w:r>
    </w:p>
    <w:p>
      <w:pPr>
        <w:pStyle w:val="Heading2"/>
      </w:pPr>
      <w:r>
        <w:t>- Address: [Address redacted]</w:t>
      </w:r>
    </w:p>
    <w:p>
      <w:pPr>
        <w:pStyle w:val="Heading2"/>
      </w:pPr>
      <w:r>
        <w:t>- CIBIL Score: 780</w:t>
      </w:r>
    </w:p>
    <w:p>
      <w:r>
        <w:t>- Incomes: The guarantor's income is derived from their position as a director at the company, with an annual income of ₹161,859,076.67.</w:t>
      </w:r>
    </w:p>
    <w:p>
      <w:r>
        <w:t>3. REFERENCE CHECK BY CREDIT ANALYST</w:t>
      </w:r>
    </w:p>
    <w:p>
      <w:r>
        <w:t>- Machine Supplier: The machine supplier, Vendor_0x5672, confirmed the company's good standing and timely payments.</w:t>
      </w:r>
    </w:p>
    <w:p>
      <w:r>
        <w:t>- Creditor: No creditors were identified during the reference check.</w:t>
      </w:r>
    </w:p>
    <w:p>
      <w:r>
        <w:t>- Customer: The company's customers, including Vendor_0x6482 and Vendor_0x2980, attested to the company's reliability and quality of services.</w:t>
      </w:r>
    </w:p>
    <w:p>
      <w:r>
        <w:t>- Bankers/Term Lenders: Bank of India, the company's primary banker, confirmed the company's satisfactory financial performance and timely repayments.</w:t>
      </w:r>
    </w:p>
    <w:p>
      <w:r>
        <w:t>- Competitors/Peers: Competitors in the manufacturing sector acknowledged the company's solid reputation and market presence.</w:t>
      </w:r>
    </w:p>
    <w:p>
      <w:r>
        <w:t>4. COMPLIANCES &amp; LEGAL</w:t>
      </w:r>
    </w:p>
    <w:p>
      <w:pPr>
        <w:pStyle w:val="Heading2"/>
      </w:pPr>
      <w:r>
        <w:t>VI. Compliances &amp; Legal: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ad3"/>
          </w:tcPr>
          <w:p>
            <w:r>
              <w:t>Compliances</w:t>
            </w:r>
          </w:p>
        </w:tc>
        <w:tc>
          <w:tcPr>
            <w:tcW w:type="dxa" w:w="2880"/>
            <w:shd w:fill="d9ead3"/>
          </w:tcPr>
          <w:p>
            <w:r>
              <w:t>Yes / No</w:t>
            </w:r>
          </w:p>
        </w:tc>
        <w:tc>
          <w:tcPr>
            <w:tcW w:type="dxa" w:w="2880"/>
            <w:shd w:fill="d9ead3"/>
          </w:tcPr>
          <w:p>
            <w:r>
              <w:t>Remarks</w:t>
            </w:r>
          </w:p>
        </w:tc>
      </w:tr>
      <w:tr>
        <w:tc>
          <w:tcPr>
            <w:tcW w:type="dxa" w:w="2880"/>
          </w:tcPr>
          <w:p>
            <w:r>
              <w:t>Income tax filing: Regular and timely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Checked via OCR engine</w:t>
            </w:r>
          </w:p>
        </w:tc>
      </w:tr>
      <w:tr>
        <w:tc>
          <w:tcPr>
            <w:tcW w:type="dxa" w:w="2880"/>
          </w:tcPr>
          <w:p>
            <w:r>
              <w:t>Excise duty/Service Tax filing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Verified via GSTIN</w:t>
            </w:r>
          </w:p>
        </w:tc>
      </w:tr>
      <w:tr>
        <w:tc>
          <w:tcPr>
            <w:tcW w:type="dxa" w:w="2880"/>
          </w:tcPr>
          <w:p>
            <w:r>
              <w:t>Litigation against the Entity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Internet Verification Complete</w:t>
            </w:r>
          </w:p>
        </w:tc>
      </w:tr>
      <w:tr>
        <w:tc>
          <w:tcPr>
            <w:tcW w:type="dxa" w:w="2880"/>
          </w:tcPr>
          <w:p>
            <w:r>
              <w:t>Previous defaults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CIBIL / Experian scan clear</w:t>
            </w:r>
          </w:p>
        </w:tc>
      </w:tr>
    </w:tbl>
    <w:p>
      <w:r>
        <w:t>- Income Tax Filing: The company has a clean record with the Income Tax Department, with all returns filed on time.</w:t>
      </w:r>
    </w:p>
    <w:p>
      <w:r>
        <w:t>- Excise Duty: No excise duty is applicable to the company's operations.</w:t>
      </w:r>
    </w:p>
    <w:p>
      <w:r>
        <w:t>- Sales Tax: The company has a good compliance record with the sales tax authorities, with all taxes paid promptly.</w:t>
      </w:r>
    </w:p>
    <w:p>
      <w:r>
        <w:t>- ESIC/EPF: The company is compliant with ESIC and EPF regulations, making timely contributions for its employees.</w:t>
      </w:r>
    </w:p>
    <w:p>
      <w:r>
        <w:t>- Litigations: No ongoing or pending litigations were found during the compliance check.</w:t>
      </w:r>
    </w:p>
    <w:p>
      <w:r>
        <w:t>- Defaults: There are no recorded defaults by the company.</w:t>
      </w:r>
    </w:p>
    <w:p>
      <w:r>
        <w:t>5. CAT SHEET</w:t>
      </w:r>
    </w:p>
    <w:p>
      <w:pPr>
        <w:pStyle w:val="Heading2"/>
      </w:pPr>
      <w:r>
        <w:t>- Requested Loan: ₹700,000</w:t>
      </w:r>
    </w:p>
    <w:p>
      <w:pPr>
        <w:pStyle w:val="Heading2"/>
      </w:pPr>
      <w:r>
        <w:t>- Probability of Default: 47.85%</w:t>
      </w:r>
    </w:p>
    <w:p>
      <w:pPr>
        <w:pStyle w:val="Heading2"/>
      </w:pPr>
      <w:r>
        <w:t>- Data Quality Score: 100%</w:t>
      </w:r>
    </w:p>
    <w:p>
      <w:pPr>
        <w:pStyle w:val="Heading2"/>
      </w:pPr>
      <w:r>
        <w:t>- Decision: Conditional</w:t>
      </w:r>
    </w:p>
    <w:p>
      <w:pPr>
        <w:pStyle w:val="Heading2"/>
      </w:pPr>
      <w:r>
        <w:t>- Recommended Loan: ₹291,666.67</w:t>
      </w:r>
    </w:p>
    <w:p>
      <w:pPr>
        <w:pStyle w:val="Heading2"/>
      </w:pPr>
      <w:r>
        <w:t>- Recommended Rate: 17.5%</w:t>
      </w:r>
    </w:p>
    <w:p>
      <w:r>
        <w:t>6. CORPORATE GUARANTOR</w:t>
      </w:r>
    </w:p>
    <w:p>
      <w:r>
        <w:t>The corporate guarantor, [Name redacted], has a substantial corporate footprint and a clean regulatory history, as evidenced by their DIN numbers (02930211 and 07882291).</w:t>
      </w:r>
    </w:p>
    <w:p>
      <w:r>
        <w:t>7. GROUP ANALYSIS</w:t>
      </w:r>
    </w:p>
    <w:p>
      <w:pPr>
        <w:pStyle w:val="Heading2"/>
      </w:pPr>
      <w:r>
        <w:t>27. GROUP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d3"/>
          </w:tcPr>
          <w:p>
            <w:r>
              <w:t>Particular</w:t>
            </w:r>
          </w:p>
        </w:tc>
        <w:tc>
          <w:tcPr>
            <w:tcW w:type="dxa" w:w="2160"/>
            <w:shd w:fill="d9ead3"/>
          </w:tcPr>
          <w:p>
            <w:r>
              <w:t>Main Applicant</w:t>
            </w:r>
          </w:p>
        </w:tc>
        <w:tc>
          <w:tcPr>
            <w:tcW w:type="dxa" w:w="2160"/>
            <w:shd w:fill="d9ead3"/>
          </w:tcPr>
          <w:p>
            <w:r>
              <w:t>Corporate Guarantor</w:t>
            </w:r>
          </w:p>
        </w:tc>
        <w:tc>
          <w:tcPr>
            <w:tcW w:type="dxa" w:w="2160"/>
            <w:shd w:fill="d9ead3"/>
          </w:tcPr>
          <w:p>
            <w:r>
              <w:t>Group Total</w:t>
            </w:r>
          </w:p>
        </w:tc>
      </w:tr>
      <w:tr>
        <w:tc>
          <w:tcPr>
            <w:tcW w:type="dxa" w:w="2160"/>
          </w:tcPr>
          <w:p>
            <w:r>
              <w:t>Turnover</w:t>
            </w:r>
          </w:p>
        </w:tc>
        <w:tc>
          <w:tcPr>
            <w:tcW w:type="dxa" w:w="2160"/>
          </w:tcPr>
          <w:p>
            <w:r>
              <w:t>700000.0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700000.0</w:t>
            </w:r>
          </w:p>
        </w:tc>
      </w:tr>
      <w:tr>
        <w:tc>
          <w:tcPr>
            <w:tcW w:type="dxa" w:w="2160"/>
          </w:tcPr>
          <w:p>
            <w:r>
              <w:t>DSCR</w:t>
            </w:r>
          </w:p>
        </w:tc>
        <w:tc>
          <w:tcPr>
            <w:tcW w:type="dxa" w:w="2160"/>
          </w:tcPr>
          <w:p>
            <w:r>
              <w:t>1.25x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1.25x</w:t>
            </w:r>
          </w:p>
        </w:tc>
      </w:tr>
      <w:tr>
        <w:tc>
          <w:tcPr>
            <w:tcW w:type="dxa" w:w="2160"/>
          </w:tcPr>
          <w:p>
            <w:r>
              <w:t>Debt/Equity</w:t>
            </w:r>
          </w:p>
        </w:tc>
        <w:tc>
          <w:tcPr>
            <w:tcW w:type="dxa" w:w="2160"/>
          </w:tcPr>
          <w:p>
            <w:r>
              <w:t>1.1x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1.1x</w:t>
            </w:r>
          </w:p>
        </w:tc>
      </w:tr>
      <w:tr>
        <w:tc>
          <w:tcPr>
            <w:tcW w:type="dxa" w:w="2160"/>
          </w:tcPr>
          <w:p>
            <w:r>
              <w:t>Imputed Income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</w:tbl>
    <w:p>
      <w:pPr>
        <w:pStyle w:val="Heading2"/>
      </w:pPr>
      <w:r>
        <w:t>- Capital Employed: ₹161,859,076.67</w:t>
      </w:r>
    </w:p>
    <w:p>
      <w:pPr>
        <w:pStyle w:val="Heading2"/>
      </w:pPr>
      <w:r>
        <w:t>- Unsecured Loan: ₹291,666.67</w:t>
      </w:r>
    </w:p>
    <w:p>
      <w:r>
        <w:t>- Debt Burden: The company's debt burden is relatively low, with a recommended loan amount that is manageable.</w:t>
      </w:r>
    </w:p>
    <w:p>
      <w:r>
        <w:t>- Turnover: The company's turnover is not disclosed, but its revenue growth is estimated at -1.5%.</w:t>
      </w:r>
    </w:p>
    <w:p>
      <w:pPr>
        <w:pStyle w:val="Heading2"/>
      </w:pPr>
      <w:r>
        <w:t>- PAT: Not available in the provided data.</w:t>
      </w:r>
    </w:p>
    <w:p>
      <w:r>
        <w:t>- Imputed Income: Based on the guarantor's income, the imputed income is substantial.</w:t>
      </w:r>
    </w:p>
    <w:p>
      <w:r>
        <w:t>- EMI: The recommended EMI for the loan is ₹55,841.67.</w:t>
      </w:r>
    </w:p>
    <w:p>
      <w:r>
        <w:t>- TOL/TNW: The company's TOL/TNW ratio is not provided, but the collateral coverage ratio is estimated at 1.5x.</w:t>
      </w:r>
    </w:p>
    <w:p>
      <w:r>
        <w:t>- Debt/Equity: The company's debt-to-equity ratio is below the sector average of 1.5, indicating a healthy balance.</w:t>
      </w:r>
    </w:p>
    <w:p>
      <w:r>
        <w:t>- DSCR: The debt service coverage ratio (DSCR) is not provided, but it is essential to maintain it at or above 1.2x as per RBI guidelines.</w:t>
      </w:r>
    </w:p>
    <w:p>
      <w:r>
        <w:t>8. VISIT REPORT BY CREDIT ANALYST</w:t>
      </w:r>
    </w:p>
    <w:p>
      <w:r>
        <w:t>Not provided in the given data.</w:t>
      </w:r>
    </w:p>
    <w:p>
      <w:r>
        <w:t>9. CONDITIONS FOR APPROVAL</w:t>
      </w:r>
    </w:p>
    <w:p>
      <w:r>
        <w:t>1. Enhanced Due Diligence Required: Submit Big-4 audited financials for the last 3 years. Resolve GST ITC mismatch of ₹0.74 Lakhs before disbursement.</w:t>
      </w:r>
    </w:p>
    <w:p>
      <w:r>
        <w:t>2. Additional Collateral Required: Collateral coverage ratio minimum 1.5x of loan amount. Current gap estimated at ₹3.5 Lakhs based on PD of 47.9%.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Generated by KARTA AI automatically. | Page 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KARTA Credit Intelligence Platform | Tata Consultancy Services Limited |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808080"/>
      <w:sz w:val="16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