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TATA CONSULTANCY SERVICES LIMITED</w:t>
      </w:r>
    </w:p>
    <w:p>
      <w:pPr>
        <w:jc w:val="center"/>
      </w:pPr>
      <w:r>
        <w:t>Date: 2026-04-21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r>
        <w:t>The guarantor for this loan is the company's director, DIN 02930211, who has a clean regulatory history and no disqualifications. The director's total corporate footprint is ₹161,859,076.67, indicating a substantial business presence.</w:t>
      </w:r>
    </w:p>
    <w:p>
      <w:r>
        <w:t>3. REFERENCE CHECK BY CREDIT ANALYST</w:t>
      </w:r>
    </w:p>
    <w:p>
      <w:r>
        <w:t>Machine Supplier</w:t>
      </w:r>
    </w:p>
    <w:p>
      <w:r>
        <w:t>No specific reference checks were conducted for machine suppliers.</w:t>
      </w:r>
    </w:p>
    <w:p>
      <w:r>
        <w:t>Creditor</w:t>
      </w:r>
    </w:p>
    <w:p>
      <w:r>
        <w:t>No reference checks were performed for creditors.</w:t>
      </w:r>
    </w:p>
    <w:p>
      <w:r>
        <w:t>Customer</w:t>
      </w:r>
    </w:p>
    <w:p>
      <w:r>
        <w:t>The customer's transactional network analysis revealed no circular trading patterns. The network consisted of the company and nine vendors, with a clean flow of transactions.</w:t>
      </w:r>
    </w:p>
    <w:p>
      <w:r>
        <w:t>Bankers/Term Lenders</w:t>
      </w:r>
    </w:p>
    <w:p>
      <w:r>
        <w:t>No reference checks were conducted with bankers or term lenders.</w:t>
      </w:r>
    </w:p>
    <w:p>
      <w:r>
        <w:t>Competitors/Peers</w:t>
      </w:r>
    </w:p>
    <w:p>
      <w:r>
        <w:t>No reference checks were made with competitors or peers.</w:t>
      </w:r>
    </w:p>
    <w:p>
      <w:r>
        <w:t>4. Compliances &amp; Legal</w:t>
      </w:r>
    </w:p>
    <w:p>
      <w:r>
        <w:t>Income Tax Filing</w:t>
      </w:r>
    </w:p>
    <w:p>
      <w:r>
        <w:t>No issues were found regarding income tax filing.</w:t>
      </w:r>
    </w:p>
    <w:p>
      <w:r>
        <w:t>Excise Duty</w:t>
      </w:r>
    </w:p>
    <w:p>
      <w:r>
        <w:t>No specific information on excise duty compliance is available.</w:t>
      </w:r>
    </w:p>
    <w:p>
      <w:r>
        <w:t>Sales Tax</w:t>
      </w:r>
    </w:p>
    <w:p>
      <w:r>
        <w:t>A significant risk signal was detected in the form of a GST mismatch. The annual GSTR-2A shows ₹1.09, while the GSTR-3B claims ₹1.83, resulting in an exact mismatch of ₹0.74, which is 40.3% of the claimed amount. This indicates potential irregularities in sales tax compliance.</w:t>
      </w:r>
    </w:p>
    <w:p>
      <w:r>
        <w:t>ESIC/EPF</w:t>
      </w:r>
    </w:p>
    <w:p>
      <w:r>
        <w:t>No specific information on ESIC/EPF compliance is available.</w:t>
      </w:r>
    </w:p>
    <w:p>
      <w:r>
        <w:t>Litigations</w:t>
      </w:r>
    </w:p>
    <w:p>
      <w:r>
        <w:t>No litigation or legal issues were reported.</w:t>
      </w:r>
    </w:p>
    <w:p>
      <w:r>
        <w:t>Defaults</w:t>
      </w:r>
    </w:p>
    <w:p>
      <w:r>
        <w:t>No default records were found.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Not applicable for this CAM.</w:t>
      </w:r>
    </w:p>
    <w:p>
      <w:r>
        <w:t>6. CORPORATE GUARANTOR</w:t>
      </w:r>
    </w:p>
    <w:p>
      <w:r>
        <w:t>The corporate guarantor is the company itself, with its directors providing personal guarantees.</w:t>
      </w:r>
    </w:p>
    <w:p>
      <w:r>
        <w:t>7. GROUP ANALYSIS</w:t>
      </w:r>
    </w:p>
    <w:p>
      <w:r>
        <w:t>Capital Employed</w:t>
      </w:r>
    </w:p>
    <w:p>
      <w:r>
        <w:t>The company's capital employed is not provided in the data.</w:t>
      </w:r>
    </w:p>
    <w:p>
      <w:r>
        <w:t>Unsecured Loan</w:t>
      </w:r>
    </w:p>
    <w:p>
      <w:r>
        <w:t>The requested loan amount is ₹700,000, and the recommended loan amount is ₹291,666.67, which is significantly lower.</w:t>
      </w:r>
    </w:p>
    <w:p>
      <w:r>
        <w:t>Debt Burden</w:t>
      </w:r>
    </w:p>
    <w:p>
      <w:r>
        <w:t>No specific information on debt burden is available.</w:t>
      </w:r>
    </w:p>
    <w:p>
      <w:r>
        <w:t>Turnover</w:t>
      </w:r>
    </w:p>
    <w:p>
      <w:r>
        <w:t>The company's turnover is not mentioned in the data.</w:t>
      </w:r>
    </w:p>
    <w:p>
      <w:r>
        <w:t>PAT</w:t>
      </w:r>
    </w:p>
    <w:p>
      <w:r>
        <w:t>No data on Profit After Tax (PAT) is provided.</w:t>
      </w:r>
    </w:p>
    <w:p>
      <w:r>
        <w:t>Imputed Income</w:t>
      </w:r>
    </w:p>
    <w:p>
      <w:r>
        <w:t>Imputed income is not calculated in this CAM.</w:t>
      </w:r>
    </w:p>
    <w:p>
      <w:r>
        <w:t>EMI</w:t>
      </w:r>
    </w:p>
    <w:p>
      <w:r>
        <w:t>The EMI for the recommended loan amount of ₹291,666.67 at a rate of 17.5% would be approximately ₹5,500 per month.</w:t>
      </w:r>
    </w:p>
    <w:p>
      <w:r>
        <w:t>TOL/TNW</w:t>
      </w:r>
    </w:p>
    <w:p>
      <w:r>
        <w:t>The Tangible Net Worth (TNW) is not provided, and thus, the Tangible Owner's Loan (TOL) cannot be determined.</w:t>
      </w:r>
    </w:p>
    <w:p>
      <w:r>
        <w:t>Debt/Equity</w:t>
      </w:r>
    </w:p>
    <w:p>
      <w:r>
        <w:t>The debt-to-equity ratio is not available in the data.</w:t>
      </w:r>
    </w:p>
    <w:p>
      <w:r>
        <w:t>DSCR</w:t>
      </w:r>
    </w:p>
    <w:p>
      <w:r>
        <w:t>The Debt Service Coverage Ratio (DSCR) is not calculated in this CAM.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700000.0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700000.0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 visit report is available for this CAM.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₹0.74 Lakhs before disbursement.</w:t>
      </w:r>
    </w:p>
    <w:p>
      <w:r>
        <w:t>2. Additional Collateral Required: Collateral coverage ratio must be a minimum of 1.5x the loan amount. Based on a PD of 51.7%, the current gap is estimated at ₹3.5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Tata Consultancy Services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