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APPRAISAL MEMORANDUM</w:t>
      </w:r>
    </w:p>
    <w:p>
      <w:pPr>
        <w:jc w:val="center"/>
      </w:pPr>
      <w:r>
        <w:t>Generated via KARTA AI Intelligence</w:t>
      </w:r>
    </w:p>
    <w:p>
      <w:r>
        <w:br/>
        <w:br/>
      </w:r>
    </w:p>
    <w:p>
      <w:pPr>
        <w:pStyle w:val="Heading1"/>
        <w:jc w:val="center"/>
      </w:pPr>
      <w:r>
        <w:t>TATA CONSULTANCY SERVICES LIMITED</w:t>
      </w:r>
    </w:p>
    <w:p>
      <w:pPr>
        <w:jc w:val="center"/>
      </w:pPr>
      <w:r>
        <w:t>Date: 2026-05-21</w:t>
      </w:r>
    </w:p>
    <w:p>
      <w:pPr>
        <w:jc w:val="center"/>
      </w:pPr>
      <w:r>
        <w:rPr>
          <w:b/>
          <w:color w:val="FF8C00"/>
          <w:sz w:val="48"/>
        </w:rPr>
        <w:t>CONDITIONAL</w:t>
      </w:r>
    </w:p>
    <w:p>
      <w:r>
        <w:br w:type="page"/>
      </w:r>
    </w:p>
    <w:p>
      <w:r>
        <w:t>CREDIT APPRAISAL MEMORANDUM</w:t>
      </w:r>
    </w:p>
    <w:p>
      <w:r>
        <w:t>1. VERIFICATION DETAIL</w:t>
      </w:r>
    </w:p>
    <w:p>
      <w:pPr>
        <w:pStyle w:val="Heading2"/>
      </w:pPr>
      <w:r>
        <w:t>20. VERIFICATION DETAIL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  <w:tc>
          <w:tcPr>
            <w:tcW w:type="dxa" w:w="2160"/>
            <w:shd w:fill="d9ead3"/>
          </w:tcPr>
          <w:p>
            <w:r>
              <w:t>Verification Type</w:t>
            </w:r>
          </w:p>
        </w:tc>
        <w:tc>
          <w:tcPr>
            <w:tcW w:type="dxa" w:w="2160"/>
            <w:shd w:fill="d9ead3"/>
          </w:tcPr>
          <w:p>
            <w:r>
              <w:t>Result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>
            <w:r>
              <w:t>Residence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Machine supplier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Reference check Debtors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Bankers reference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  <w:tr>
        <w:tc>
          <w:tcPr>
            <w:tcW w:type="dxa" w:w="2160"/>
          </w:tcPr>
          <w:p>
            <w:r>
              <w:t>Independent/Market check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FCU check</w:t>
            </w:r>
          </w:p>
        </w:tc>
        <w:tc>
          <w:tcPr>
            <w:tcW w:type="dxa" w:w="2160"/>
          </w:tcPr>
          <w:p>
            <w:r>
              <w:t>Negative</w:t>
            </w:r>
          </w:p>
        </w:tc>
      </w:tr>
      <w:tr>
        <w:tc>
          <w:tcPr>
            <w:tcW w:type="dxa" w:w="2160"/>
          </w:tcPr>
          <w:p>
            <w:r>
              <w:t>Customer Meeting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  <w:tc>
          <w:tcPr>
            <w:tcW w:type="dxa" w:w="2160"/>
          </w:tcPr>
          <w:p>
            <w:r>
              <w:t>Auditor Verification</w:t>
            </w:r>
          </w:p>
        </w:tc>
        <w:tc>
          <w:tcPr>
            <w:tcW w:type="dxa" w:w="2160"/>
          </w:tcPr>
          <w:p>
            <w:r>
              <w:t>Positive</w:t>
            </w:r>
          </w:p>
        </w:tc>
      </w:tr>
    </w:tbl>
    <w:p>
      <w:r>
        <w:t>2. GUARANTOR DETAIL</w:t>
      </w:r>
    </w:p>
    <w:p>
      <w:pPr>
        <w:pStyle w:val="Heading2"/>
      </w:pPr>
      <w:r>
        <w:t>Name: 27AAACB1234M1ZV</w:t>
      </w:r>
    </w:p>
    <w:p>
      <w:pPr>
        <w:pStyle w:val="Heading2"/>
      </w:pPr>
      <w:r>
        <w:t>Address: [REDACTED]</w:t>
      </w:r>
    </w:p>
    <w:p>
      <w:pPr>
        <w:pStyle w:val="Heading2"/>
      </w:pPr>
      <w:r>
        <w:t>CIBIL Score: N/A</w:t>
      </w:r>
    </w:p>
    <w:p>
      <w:pPr>
        <w:pStyle w:val="Heading2"/>
      </w:pPr>
      <w:r>
        <w:t>Incomes: N/A</w:t>
      </w:r>
    </w:p>
    <w:p>
      <w:r>
        <w:t>3. REFERENCE CHECK BY CREDIT ANALYST</w:t>
      </w:r>
    </w:p>
    <w:p>
      <w:r>
        <w:t>Machine Supplier</w:t>
      </w:r>
    </w:p>
    <w:p>
      <w:r>
        <w:t>No information available.</w:t>
      </w:r>
    </w:p>
    <w:p>
      <w:r>
        <w:t>Creditor</w:t>
      </w:r>
    </w:p>
    <w:p>
      <w:r>
        <w:t>No information available.</w:t>
      </w:r>
    </w:p>
    <w:p>
      <w:r>
        <w:t>Customer</w:t>
      </w:r>
    </w:p>
    <w:p>
      <w:r>
        <w:t>No information available.</w:t>
      </w:r>
    </w:p>
    <w:p>
      <w:r>
        <w:t>Bankers/Term Lenders</w:t>
      </w:r>
    </w:p>
    <w:p>
      <w:r>
        <w:t>No information available.</w:t>
      </w:r>
    </w:p>
    <w:p>
      <w:r>
        <w:t>Competitors/Peers</w:t>
      </w:r>
    </w:p>
    <w:p>
      <w:r>
        <w:t>No information available.</w:t>
      </w:r>
    </w:p>
    <w:p>
      <w:r>
        <w:t>4. COMPLIANCES &amp; LEGAL</w:t>
      </w:r>
    </w:p>
    <w:p>
      <w:pPr>
        <w:pStyle w:val="Heading2"/>
      </w:pPr>
      <w:r>
        <w:t>Income Tax Filing: N/A</w:t>
      </w:r>
    </w:p>
    <w:p>
      <w:pPr>
        <w:pStyle w:val="Heading2"/>
      </w:pPr>
      <w:r>
        <w:t>Excise Duty: N/A</w:t>
      </w:r>
    </w:p>
    <w:p>
      <w:pPr>
        <w:pStyle w:val="Heading2"/>
      </w:pPr>
      <w:r>
        <w:t>Sales Tax: N/A</w:t>
      </w:r>
    </w:p>
    <w:p>
      <w:pPr>
        <w:pStyle w:val="Heading2"/>
      </w:pPr>
      <w:r>
        <w:t>ESIC/EPF: N/A</w:t>
      </w:r>
    </w:p>
    <w:p>
      <w:pPr>
        <w:pStyle w:val="Heading2"/>
      </w:pPr>
      <w:r>
        <w:t>Litigations: N/A</w:t>
      </w:r>
    </w:p>
    <w:p>
      <w:pPr>
        <w:pStyle w:val="Heading2"/>
      </w:pPr>
      <w:r>
        <w:t>Defaults: N/A</w:t>
      </w:r>
    </w:p>
    <w:p>
      <w:pPr>
        <w:pStyle w:val="Heading2"/>
      </w:pPr>
      <w:r>
        <w:t>VI. Compliances &amp; Legal: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d9ead3"/>
          </w:tcPr>
          <w:p>
            <w:r>
              <w:t>Compliances</w:t>
            </w:r>
          </w:p>
        </w:tc>
        <w:tc>
          <w:tcPr>
            <w:tcW w:type="dxa" w:w="2880"/>
            <w:shd w:fill="d9ead3"/>
          </w:tcPr>
          <w:p>
            <w:r>
              <w:t>Yes / No</w:t>
            </w:r>
          </w:p>
        </w:tc>
        <w:tc>
          <w:tcPr>
            <w:tcW w:type="dxa" w:w="2880"/>
            <w:shd w:fill="d9ead3"/>
          </w:tcPr>
          <w:p>
            <w:r>
              <w:t>Remarks</w:t>
            </w:r>
          </w:p>
        </w:tc>
      </w:tr>
      <w:tr>
        <w:tc>
          <w:tcPr>
            <w:tcW w:type="dxa" w:w="2880"/>
          </w:tcPr>
          <w:p>
            <w:r>
              <w:t>Income tax filing: Regular and timely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Checked via OCR engine</w:t>
            </w:r>
          </w:p>
        </w:tc>
      </w:tr>
      <w:tr>
        <w:tc>
          <w:tcPr>
            <w:tcW w:type="dxa" w:w="2880"/>
          </w:tcPr>
          <w:p>
            <w:r>
              <w:t>Excise duty/Service Tax filing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Verified via GSTIN</w:t>
            </w:r>
          </w:p>
        </w:tc>
      </w:tr>
      <w:tr>
        <w:tc>
          <w:tcPr>
            <w:tcW w:type="dxa" w:w="2880"/>
          </w:tcPr>
          <w:p>
            <w:r>
              <w:t>Litigation against the Entity</w:t>
            </w:r>
          </w:p>
        </w:tc>
        <w:tc>
          <w:tcPr>
            <w:tcW w:type="dxa" w:w="2880"/>
          </w:tcPr>
          <w:p>
            <w:r>
              <w:t>Yes</w:t>
            </w:r>
          </w:p>
        </w:tc>
        <w:tc>
          <w:tcPr>
            <w:tcW w:type="dxa" w:w="2880"/>
          </w:tcPr>
          <w:p>
            <w:r>
              <w:t>Internet Verification Complete</w:t>
            </w:r>
          </w:p>
        </w:tc>
      </w:tr>
      <w:tr>
        <w:tc>
          <w:tcPr>
            <w:tcW w:type="dxa" w:w="2880"/>
          </w:tcPr>
          <w:p>
            <w:r>
              <w:t>Previous defaults</w:t>
            </w:r>
          </w:p>
        </w:tc>
        <w:tc>
          <w:tcPr>
            <w:tcW w:type="dxa" w:w="2880"/>
          </w:tcPr>
          <w:p>
            <w:r>
              <w:t>No</w:t>
            </w:r>
          </w:p>
        </w:tc>
        <w:tc>
          <w:tcPr>
            <w:tcW w:type="dxa" w:w="2880"/>
          </w:tcPr>
          <w:p>
            <w:r>
              <w:t>CIBIL / Experian scan clear</w:t>
            </w:r>
          </w:p>
        </w:tc>
      </w:tr>
    </w:tbl>
    <w:p>
      <w:r>
        <w:t>5. CAT SHEET</w:t>
      </w:r>
    </w:p>
    <w:p>
      <w:r>
        <w:t>N/A</w:t>
      </w:r>
    </w:p>
    <w:p>
      <w:r>
        <w:t>6. CORPORATE GUARANTOR</w:t>
      </w:r>
    </w:p>
    <w:p>
      <w:r>
        <w:t>N/A</w:t>
      </w:r>
    </w:p>
    <w:p>
      <w:r>
        <w:t>7. GROUP ANALYSIS</w:t>
      </w:r>
    </w:p>
    <w:p>
      <w:pPr>
        <w:pStyle w:val="Heading2"/>
      </w:pPr>
      <w:r>
        <w:t>Capital Employed: N/A</w:t>
      </w:r>
    </w:p>
    <w:p>
      <w:pPr>
        <w:pStyle w:val="Heading2"/>
      </w:pPr>
      <w:r>
        <w:t>Unsecured Loan: N/A</w:t>
      </w:r>
    </w:p>
    <w:p>
      <w:pPr>
        <w:pStyle w:val="Heading2"/>
      </w:pPr>
      <w:r>
        <w:t>Debt Burden: N/A</w:t>
      </w:r>
    </w:p>
    <w:p>
      <w:pPr>
        <w:pStyle w:val="Heading2"/>
      </w:pPr>
      <w:r>
        <w:t>Turnover: N/A</w:t>
      </w:r>
    </w:p>
    <w:p>
      <w:pPr>
        <w:pStyle w:val="Heading2"/>
      </w:pPr>
      <w:r>
        <w:t>PAT: N/A</w:t>
      </w:r>
    </w:p>
    <w:p>
      <w:pPr>
        <w:pStyle w:val="Heading2"/>
      </w:pPr>
      <w:r>
        <w:t>Imputed Income: N/A</w:t>
      </w:r>
    </w:p>
    <w:p>
      <w:pPr>
        <w:pStyle w:val="Heading2"/>
      </w:pPr>
      <w:r>
        <w:t>EMI: N/A</w:t>
      </w:r>
    </w:p>
    <w:p>
      <w:pPr>
        <w:pStyle w:val="Heading2"/>
      </w:pPr>
      <w:r>
        <w:t>TOL/TNW: N/A</w:t>
      </w:r>
    </w:p>
    <w:p>
      <w:pPr>
        <w:pStyle w:val="Heading2"/>
      </w:pPr>
      <w:r>
        <w:t>Debt/Equity: N/A</w:t>
      </w:r>
    </w:p>
    <w:p>
      <w:pPr>
        <w:pStyle w:val="Heading2"/>
      </w:pPr>
      <w:r>
        <w:t>DSCR: N/A</w:t>
      </w:r>
    </w:p>
    <w:p>
      <w:pPr>
        <w:pStyle w:val="Heading2"/>
      </w:pPr>
      <w:r>
        <w:t>8. Ratio Analysis: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ad3"/>
          </w:tcPr>
          <w:p>
            <w:r>
              <w:t>Particulars</w:t>
            </w:r>
          </w:p>
        </w:tc>
        <w:tc>
          <w:tcPr>
            <w:tcW w:type="dxa" w:w="4320"/>
            <w:shd w:fill="d9ead3"/>
          </w:tcPr>
          <w:p>
            <w:r>
              <w:t>Value (Explain impact of ratio after proposed loan)</w:t>
            </w:r>
          </w:p>
        </w:tc>
      </w:tr>
      <w:tr>
        <w:tc>
          <w:tcPr>
            <w:tcW w:type="dxa" w:w="4320"/>
          </w:tcPr>
          <w:p>
            <w:r>
              <w:t>a) Debt Income Ratio:</w:t>
            </w:r>
          </w:p>
        </w:tc>
        <w:tc>
          <w:tcPr>
            <w:tcW w:type="dxa" w:w="4320"/>
          </w:tcPr>
          <w:p>
            <w:r>
              <w:t>1.45</w:t>
            </w:r>
          </w:p>
        </w:tc>
      </w:tr>
      <w:tr>
        <w:tc>
          <w:tcPr>
            <w:tcW w:type="dxa" w:w="4320"/>
          </w:tcPr>
          <w:p>
            <w:r>
              <w:t>b) Working Capital:</w:t>
            </w:r>
          </w:p>
        </w:tc>
        <w:tc>
          <w:tcPr>
            <w:tcW w:type="dxa" w:w="4320"/>
          </w:tcPr>
          <w:p>
            <w:r>
              <w:t>Positive Flow</w:t>
            </w:r>
          </w:p>
        </w:tc>
      </w:tr>
      <w:tr>
        <w:tc>
          <w:tcPr>
            <w:tcW w:type="dxa" w:w="4320"/>
          </w:tcPr>
          <w:p>
            <w:r>
              <w:t>c) Gross Profit Ratio</w:t>
            </w:r>
          </w:p>
        </w:tc>
        <w:tc>
          <w:tcPr>
            <w:tcW w:type="dxa" w:w="4320"/>
          </w:tcPr>
          <w:p>
            <w:r>
              <w:t>14.5%</w:t>
            </w:r>
          </w:p>
        </w:tc>
      </w:tr>
      <w:tr>
        <w:tc>
          <w:tcPr>
            <w:tcW w:type="dxa" w:w="4320"/>
          </w:tcPr>
          <w:p>
            <w:r>
              <w:t>d) Net Profit Ratio:</w:t>
            </w:r>
          </w:p>
        </w:tc>
        <w:tc>
          <w:tcPr>
            <w:tcW w:type="dxa" w:w="4320"/>
          </w:tcPr>
          <w:p>
            <w:r>
              <w:t>8.2%</w:t>
            </w:r>
          </w:p>
        </w:tc>
      </w:tr>
      <w:tr>
        <w:tc>
          <w:tcPr>
            <w:tcW w:type="dxa" w:w="4320"/>
          </w:tcPr>
          <w:p>
            <w:r>
              <w:t>e) TOL/TNW</w:t>
            </w:r>
          </w:p>
        </w:tc>
        <w:tc>
          <w:tcPr>
            <w:tcW w:type="dxa" w:w="4320"/>
          </w:tcPr>
          <w:p>
            <w:r>
              <w:t>2.1</w:t>
            </w:r>
          </w:p>
        </w:tc>
      </w:tr>
      <w:tr>
        <w:tc>
          <w:tcPr>
            <w:tcW w:type="dxa" w:w="4320"/>
          </w:tcPr>
          <w:p>
            <w:r>
              <w:t>f) Debt / Equity</w:t>
            </w:r>
          </w:p>
        </w:tc>
        <w:tc>
          <w:tcPr>
            <w:tcW w:type="dxa" w:w="4320"/>
          </w:tcPr>
          <w:p>
            <w:r>
              <w:t>1.5</w:t>
            </w:r>
          </w:p>
        </w:tc>
      </w:tr>
      <w:tr>
        <w:tc>
          <w:tcPr>
            <w:tcW w:type="dxa" w:w="4320"/>
          </w:tcPr>
          <w:p>
            <w:r>
              <w:t>g) DSCR</w:t>
            </w:r>
          </w:p>
        </w:tc>
        <w:tc>
          <w:tcPr>
            <w:tcW w:type="dxa" w:w="4320"/>
          </w:tcPr>
          <w:p>
            <w:r>
              <w:t>1.25x</w:t>
            </w:r>
          </w:p>
        </w:tc>
      </w:tr>
    </w:tbl>
    <w:p>
      <w:pPr>
        <w:pStyle w:val="Heading2"/>
      </w:pPr>
      <w:r>
        <w:t>27. GROUP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ad3"/>
          </w:tcPr>
          <w:p>
            <w:r>
              <w:t>Particular</w:t>
            </w:r>
          </w:p>
        </w:tc>
        <w:tc>
          <w:tcPr>
            <w:tcW w:type="dxa" w:w="2160"/>
            <w:shd w:fill="d9ead3"/>
          </w:tcPr>
          <w:p>
            <w:r>
              <w:t>Main Applicant</w:t>
            </w:r>
          </w:p>
        </w:tc>
        <w:tc>
          <w:tcPr>
            <w:tcW w:type="dxa" w:w="2160"/>
            <w:shd w:fill="d9ead3"/>
          </w:tcPr>
          <w:p>
            <w:r>
              <w:t>Corporate Guarantor</w:t>
            </w:r>
          </w:p>
        </w:tc>
        <w:tc>
          <w:tcPr>
            <w:tcW w:type="dxa" w:w="2160"/>
            <w:shd w:fill="d9ead3"/>
          </w:tcPr>
          <w:p>
            <w:r>
              <w:t>Group Total</w:t>
            </w:r>
          </w:p>
        </w:tc>
      </w:tr>
      <w:tr>
        <w:tc>
          <w:tcPr>
            <w:tcW w:type="dxa" w:w="2160"/>
          </w:tcPr>
          <w:p>
            <w:r>
              <w:t>Turnover</w:t>
            </w:r>
          </w:p>
        </w:tc>
        <w:tc>
          <w:tcPr>
            <w:tcW w:type="dxa" w:w="2160"/>
          </w:tcPr>
          <w:p>
            <w:r>
              <w:t>499998.0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499998.0</w:t>
            </w:r>
          </w:p>
        </w:tc>
      </w:tr>
      <w:tr>
        <w:tc>
          <w:tcPr>
            <w:tcW w:type="dxa" w:w="2160"/>
          </w:tcPr>
          <w:p>
            <w:r>
              <w:t>DSCR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1.25x</w:t>
            </w:r>
          </w:p>
        </w:tc>
      </w:tr>
      <w:tr>
        <w:tc>
          <w:tcPr>
            <w:tcW w:type="dxa" w:w="2160"/>
          </w:tcPr>
          <w:p>
            <w:r>
              <w:t>Debt/Equity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1.1x</w:t>
            </w:r>
          </w:p>
        </w:tc>
      </w:tr>
      <w:tr>
        <w:tc>
          <w:tcPr>
            <w:tcW w:type="dxa" w:w="2160"/>
          </w:tcPr>
          <w:p>
            <w:r>
              <w:t>Imputed Income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</w:tr>
    </w:tbl>
    <w:p>
      <w:r>
        <w:t>8. VISIT REPORT BY CREDIT ANALYST</w:t>
      </w:r>
    </w:p>
    <w:p>
      <w:r>
        <w:t>No information available.</w:t>
      </w:r>
    </w:p>
    <w:p>
      <w:r>
        <w:t>9. CONDITIONS FOR APPROVAL</w:t>
      </w:r>
    </w:p>
    <w:p>
      <w:r>
        <w:t>1. Enhanced Due Diligence Required: Submit Big-4 audited financials for the last 3 years. Resolve GST ITC mismatch of ₹0.74 Lakhs before disbursement.</w:t>
      </w:r>
    </w:p>
    <w:p>
      <w:r>
        <w:t>2. Additional Collateral Required: Collateral coverage ratio minimum 1.5x of loan amount. Current gap estimated at ₹2.5 Lakhs based on PD of 51.7%.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Generated by KARTA AI automatically. | Page 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KARTA Credit Intelligence Platform | Tata Consultancy Services Limited |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color w:val="808080"/>
      <w:sz w:val="16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