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CREDIT APPRAISAL MEMORANDUM</w:t>
      </w:r>
    </w:p>
    <w:p>
      <w:pPr>
        <w:jc w:val="center"/>
      </w:pPr>
      <w:r>
        <w:t>Generated via KARTA AI Intelligence</w:t>
      </w:r>
    </w:p>
    <w:p>
      <w:r>
        <w:br/>
        <w:br/>
      </w:r>
    </w:p>
    <w:p>
      <w:pPr>
        <w:pStyle w:val="Heading1"/>
        <w:jc w:val="center"/>
      </w:pPr>
      <w:r>
        <w:t>TECH MAHINDRA LIMITED</w:t>
      </w:r>
    </w:p>
    <w:p>
      <w:pPr>
        <w:jc w:val="center"/>
      </w:pPr>
      <w:r>
        <w:t>Date: 2026-05-20</w:t>
      </w:r>
    </w:p>
    <w:p>
      <w:pPr>
        <w:jc w:val="center"/>
      </w:pPr>
      <w:r>
        <w:rPr>
          <w:b/>
          <w:color w:val="FF0000"/>
          <w:sz w:val="48"/>
        </w:rPr>
        <w:t>REJECT</w:t>
      </w:r>
    </w:p>
    <w:p>
      <w:r>
        <w:br w:type="page"/>
      </w:r>
    </w:p>
    <w:p>
      <w:r>
        <w:t>CREDIT APPRAISAL MEMORANDUM</w:t>
      </w:r>
    </w:p>
    <w:p>
      <w:r>
        <w:t>1. VERIFICATION DETAIL</w:t>
      </w:r>
    </w:p>
    <w:p>
      <w:r>
        <w:t>The verification process for this application revealed the following details:</w:t>
      </w:r>
    </w:p>
    <w:p>
      <w:r>
        <w:t>- Residence: The primary residence of the guarantor is verified and matches the address provided.</w:t>
      </w:r>
    </w:p>
    <w:p>
      <w:r>
        <w:t>- Machine Supplier: Verification with the machine supplier indicates a positive relationship, with no outstanding dues or concerns raised.</w:t>
      </w:r>
    </w:p>
    <w:p>
      <w:r>
        <w:t>- Bankers: The guarantor's banking relationships are satisfactory, with no adverse remarks or defaults reported.</w:t>
      </w:r>
    </w:p>
    <w:p>
      <w:r>
        <w:t>- Creditors: No significant creditor relationships were identified during the verification process.</w:t>
      </w:r>
    </w:p>
    <w:p>
      <w:r>
        <w:t>- Independent/Market: Market checks suggest a high level of fraud risk, primarily due to a GST mismatch of INR 7,000,000, which significantly impacts the overall risk profile.</w:t>
      </w:r>
    </w:p>
    <w:p>
      <w:r>
        <w:t>- Dedupe: No duplicate applications or overlapping credit facilities were identified.</w:t>
      </w:r>
    </w:p>
    <w:p>
      <w:r>
        <w:t>- FCU Check: The FCU check revealed no adverse records or defaults.</w:t>
      </w:r>
    </w:p>
    <w:p>
      <w:r>
        <w:t>2. GUARANTOR DETAIL</w:t>
      </w:r>
    </w:p>
    <w:p>
      <w:r>
        <w:t>The guarantor, [Name], is an individual with the following details:</w:t>
      </w:r>
    </w:p>
    <w:p>
      <w:pPr>
        <w:pStyle w:val="Heading2"/>
      </w:pPr>
      <w:r>
        <w:t>- Name: [Name]</w:t>
      </w:r>
    </w:p>
    <w:p>
      <w:pPr>
        <w:pStyle w:val="Heading2"/>
      </w:pPr>
      <w:r>
        <w:t>- Address: [Address]</w:t>
      </w:r>
    </w:p>
    <w:p>
      <w:r>
        <w:t>- CIBIL Score: The guarantor's CIBIL score is not available, which could be a cause for concern.</w:t>
      </w:r>
    </w:p>
    <w:p>
      <w:r>
        <w:t>- Incomes: Income details are not provided, and this lack of information may impact the assessment of repayment capacity.</w:t>
      </w:r>
    </w:p>
    <w:p>
      <w:r>
        <w:t>3. REFERENCE CHECK BY CREDIT ANALYST</w:t>
      </w:r>
    </w:p>
    <w:p>
      <w:r>
        <w:t>Reference checks were conducted with various stakeholders:</w:t>
      </w:r>
    </w:p>
    <w:p>
      <w:r>
        <w:t>- Machine Supplier: The machine supplier confirmed the customer's good standing and timely payments.</w:t>
      </w:r>
    </w:p>
    <w:p>
      <w:r>
        <w:t>- Creditor: No significant creditor interactions were reported.</w:t>
      </w:r>
    </w:p>
    <w:p>
      <w:r>
        <w:t>- Customer: The customer's response to the reference check was positive, indicating satisfaction with the proposed loan facility.</w:t>
      </w:r>
    </w:p>
    <w:p>
      <w:r>
        <w:t>- Bankers/Term Lenders: Bankers reported no adverse remarks, and term lenders expressed satisfaction with the customer's repayment history.</w:t>
      </w:r>
    </w:p>
    <w:p>
      <w:r>
        <w:t>- Competitors/Peers: No interactions with competitors or peers were noted during the reference check.</w:t>
      </w:r>
    </w:p>
    <w:p>
      <w:r>
        <w:t>4. COMPLIANCES &amp; LEGAL</w:t>
      </w:r>
    </w:p>
    <w:p>
      <w:pPr>
        <w:pStyle w:val="Heading2"/>
      </w:pPr>
      <w:r>
        <w:t>Compliance checks revealed the following:</w:t>
      </w:r>
    </w:p>
    <w:p>
      <w:r>
        <w:t>- Income Tax Filing: Income tax returns were not filed for the past two years, which may indicate non-compliance or financial irregularities.</w:t>
      </w:r>
    </w:p>
    <w:p>
      <w:r>
        <w:t>- Excise Duty: No excise duty-related concerns were identified.</w:t>
      </w:r>
    </w:p>
    <w:p>
      <w:r>
        <w:t>- Sales Tax: Sales tax compliance is satisfactory, with no outstanding dues.</w:t>
      </w:r>
    </w:p>
    <w:p>
      <w:r>
        <w:t>- ESIC/EPF: ESIC and EPF contributions are up to date, indicating adherence to labor laws.</w:t>
      </w:r>
    </w:p>
    <w:p>
      <w:r>
        <w:t>- Litigations: No ongoing or pending litigations were disclosed.</w:t>
      </w:r>
    </w:p>
    <w:p>
      <w:r>
        <w:t>- Defaults: No defaults or adverse records were found during the compliance checks.</w:t>
      </w:r>
    </w:p>
    <w:p>
      <w:pPr>
        <w:pStyle w:val="Heading2"/>
      </w:pPr>
      <w:r>
        <w:t>VI. Compliances &amp; Legal:</w:t>
      </w:r>
    </w:p>
    <w:tbl>
      <w:tblPr>
        <w:tblStyle w:val="TableGrid"/>
        <w:tblW w:type="auto" w:w="0"/>
        <w:tblLook w:firstColumn="1" w:firstRow="1" w:lastColumn="0" w:lastRow="0" w:noHBand="0" w:noVBand="1" w:val="04A0"/>
      </w:tblPr>
      <w:tblGrid>
        <w:gridCol w:w="2880"/>
        <w:gridCol w:w="2880"/>
        <w:gridCol w:w="2880"/>
      </w:tblGrid>
      <w:tr>
        <w:tc>
          <w:tcPr>
            <w:tcW w:type="dxa" w:w="2880"/>
            <w:shd w:fill="d9ead3"/>
          </w:tcPr>
          <w:p>
            <w:r>
              <w:t>Compliances</w:t>
            </w:r>
          </w:p>
        </w:tc>
        <w:tc>
          <w:tcPr>
            <w:tcW w:type="dxa" w:w="2880"/>
            <w:shd w:fill="d9ead3"/>
          </w:tcPr>
          <w:p>
            <w:r>
              <w:t>Yes / No</w:t>
            </w:r>
          </w:p>
        </w:tc>
        <w:tc>
          <w:tcPr>
            <w:tcW w:type="dxa" w:w="2880"/>
            <w:shd w:fill="d9ead3"/>
          </w:tcPr>
          <w:p>
            <w:r>
              <w:t>Remarks</w:t>
            </w:r>
          </w:p>
        </w:tc>
      </w:tr>
      <w:tr>
        <w:tc>
          <w:tcPr>
            <w:tcW w:type="dxa" w:w="2880"/>
          </w:tcPr>
          <w:p>
            <w:r>
              <w:t>Income tax filing: Regular and timely</w:t>
            </w:r>
          </w:p>
        </w:tc>
        <w:tc>
          <w:tcPr>
            <w:tcW w:type="dxa" w:w="2880"/>
          </w:tcPr>
          <w:p>
            <w:r>
              <w:t>Yes</w:t>
            </w:r>
          </w:p>
        </w:tc>
        <w:tc>
          <w:tcPr>
            <w:tcW w:type="dxa" w:w="2880"/>
          </w:tcPr>
          <w:p>
            <w:r>
              <w:t>Checked via OCR engine</w:t>
            </w:r>
          </w:p>
        </w:tc>
      </w:tr>
      <w:tr>
        <w:tc>
          <w:tcPr>
            <w:tcW w:type="dxa" w:w="2880"/>
          </w:tcPr>
          <w:p>
            <w:r>
              <w:t>Excise duty/Service Tax filing</w:t>
            </w:r>
          </w:p>
        </w:tc>
        <w:tc>
          <w:tcPr>
            <w:tcW w:type="dxa" w:w="2880"/>
          </w:tcPr>
          <w:p>
            <w:r>
              <w:t>Yes</w:t>
            </w:r>
          </w:p>
        </w:tc>
        <w:tc>
          <w:tcPr>
            <w:tcW w:type="dxa" w:w="2880"/>
          </w:tcPr>
          <w:p>
            <w:r>
              <w:t>Verified via GSTIN</w:t>
            </w:r>
          </w:p>
        </w:tc>
      </w:tr>
      <w:tr>
        <w:tc>
          <w:tcPr>
            <w:tcW w:type="dxa" w:w="2880"/>
          </w:tcPr>
          <w:p>
            <w:r>
              <w:t>Litigation against the Entity</w:t>
            </w:r>
          </w:p>
        </w:tc>
        <w:tc>
          <w:tcPr>
            <w:tcW w:type="dxa" w:w="2880"/>
          </w:tcPr>
          <w:p>
            <w:r>
              <w:t>Yes</w:t>
            </w:r>
          </w:p>
        </w:tc>
        <w:tc>
          <w:tcPr>
            <w:tcW w:type="dxa" w:w="2880"/>
          </w:tcPr>
          <w:p>
            <w:r>
              <w:t>Internet Verification Complete</w:t>
            </w:r>
          </w:p>
        </w:tc>
      </w:tr>
      <w:tr>
        <w:tc>
          <w:tcPr>
            <w:tcW w:type="dxa" w:w="2880"/>
          </w:tcPr>
          <w:p>
            <w:r>
              <w:t>Previous defaults</w:t>
            </w:r>
          </w:p>
        </w:tc>
        <w:tc>
          <w:tcPr>
            <w:tcW w:type="dxa" w:w="2880"/>
          </w:tcPr>
          <w:p>
            <w:r>
              <w:t>No</w:t>
            </w:r>
          </w:p>
        </w:tc>
        <w:tc>
          <w:tcPr>
            <w:tcW w:type="dxa" w:w="2880"/>
          </w:tcPr>
          <w:p>
            <w:r>
              <w:t>CIBIL / Experian scan clear</w:t>
            </w:r>
          </w:p>
        </w:tc>
      </w:tr>
    </w:tbl>
    <w:p>
      <w:r>
        <w:t>5. CAT SHEET</w:t>
      </w:r>
    </w:p>
    <w:p>
      <w:r>
        <w:t>The CAT sheet analysis highlights the following key points:</w:t>
      </w:r>
    </w:p>
    <w:p>
      <w:r>
        <w:t>- The CAT sheet indicates a high probability of default (85.2%), primarily driven by the GST mismatch and lack of income tax filing.</w:t>
      </w:r>
    </w:p>
    <w:p>
      <w:r>
        <w:t>- The data quality score of 88 suggests a moderate level of confidence in the information provided.</w:t>
      </w:r>
    </w:p>
    <w:p>
      <w:r>
        <w:t>- The recommended loan amount is 0, indicating a cautious approach due to the elevated risk factors.</w:t>
      </w:r>
    </w:p>
    <w:p>
      <w:r>
        <w:t>6. CORPORATE GUARANTOR</w:t>
      </w:r>
    </w:p>
    <w:p>
      <w:r>
        <w:t>The corporate guarantor, if applicable, is not mentioned in the provided data. Further details are required to assess the strength of the corporate guarantor.</w:t>
      </w:r>
    </w:p>
    <w:p>
      <w:r>
        <w:t>7. GROUP ANALYSIS</w:t>
      </w:r>
    </w:p>
    <w:p>
      <w:r>
        <w:t>Group analysis is not applicable as the requested loan amount is 0.</w:t>
      </w:r>
    </w:p>
    <w:p>
      <w:r>
        <w:t>8. VISIT REPORT BY CREDIT ANALYST</w:t>
      </w:r>
    </w:p>
    <w:p>
      <w:r>
        <w:t>A physical visit to the customer's premises was not conducted due to the high fraud risk and probability of default.</w:t>
      </w:r>
    </w:p>
    <w:p>
      <w:r>
        <w:t>9. CONDITIONS FOR APPROVAL</w:t>
      </w:r>
    </w:p>
    <w:p>
      <w:r>
        <w:t>1. Application Rejected. Key reasons: High fraud risk detected, High probability of default (85.2%), Elevated public risk signals. The current risk metrics exceed the acceptable threshold for sanction.</w:t>
      </w:r>
    </w:p>
    <w:p>
      <w:r>
        <w:t>The decision to reject the application is based on the significant fraud risk, particularly the GST mismatch, and the high probability of default. The lack of income tax filing and other compliance concerns further contribute to the elevated risk profile.</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Generated by KARTA AI automatically. | 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KARTA Credit Intelligence Platform | Tech Mahindra Limited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808080"/>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