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 xml:space="preserve"> INFOSYS LIMITED</w:t>
      </w:r>
    </w:p>
    <w:p>
      <w:pPr>
        <w:jc w:val="center"/>
      </w:pPr>
      <w:r>
        <w:t>Date: 2026-04-21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pPr>
        <w:pStyle w:val="Heading2"/>
      </w:pPr>
      <w:r>
        <w:t>Name: 29AAACI6789N1ZT</w:t>
      </w:r>
    </w:p>
    <w:p>
      <w:pPr>
        <w:pStyle w:val="Heading2"/>
      </w:pPr>
      <w:r>
        <w:t>Address: N/A</w:t>
      </w:r>
    </w:p>
    <w:p>
      <w:pPr>
        <w:pStyle w:val="Heading2"/>
      </w:pPr>
      <w:r>
        <w:t>CIBIL Score: N/A</w:t>
      </w:r>
    </w:p>
    <w:p>
      <w:pPr>
        <w:pStyle w:val="Heading2"/>
      </w:pPr>
      <w:r>
        <w:t>Incomes: N/A</w:t>
      </w:r>
    </w:p>
    <w:p>
      <w:r>
        <w:t>3. REFERENCE CHECK BY CREDIT ANALYST</w:t>
      </w:r>
    </w:p>
    <w:p>
      <w:r>
        <w:t>Machine Supplier</w:t>
      </w:r>
    </w:p>
    <w:p>
      <w:r>
        <w:t>N/A</w:t>
      </w:r>
    </w:p>
    <w:p>
      <w:r>
        <w:t>Creditor</w:t>
      </w:r>
    </w:p>
    <w:p>
      <w:r>
        <w:t>N/A</w:t>
      </w:r>
    </w:p>
    <w:p>
      <w:r>
        <w:t>Customer</w:t>
      </w:r>
    </w:p>
    <w:p>
      <w:r>
        <w:t>N/A</w:t>
      </w:r>
    </w:p>
    <w:p>
      <w:r>
        <w:t>Bankers/Term Lenders</w:t>
      </w:r>
    </w:p>
    <w:p>
      <w:r>
        <w:t>N/A</w:t>
      </w:r>
    </w:p>
    <w:p>
      <w:r>
        <w:t>Competitors/Peers</w:t>
      </w:r>
    </w:p>
    <w:p>
      <w:r>
        <w:t>N/A</w:t>
      </w:r>
    </w:p>
    <w:p>
      <w:r>
        <w:t>4. COMPLIANCES &amp; LEGAL</w:t>
      </w:r>
    </w:p>
    <w:p>
      <w:pPr>
        <w:pStyle w:val="Heading2"/>
      </w:pPr>
      <w:r>
        <w:t>Income Tax Filing: N/A</w:t>
      </w:r>
    </w:p>
    <w:p>
      <w:pPr>
        <w:pStyle w:val="Heading2"/>
      </w:pPr>
      <w:r>
        <w:t>Excise Duty: N/A</w:t>
      </w:r>
    </w:p>
    <w:p>
      <w:pPr>
        <w:pStyle w:val="Heading2"/>
      </w:pPr>
      <w:r>
        <w:t>Sales Tax: N/A</w:t>
      </w:r>
    </w:p>
    <w:p>
      <w:pPr>
        <w:pStyle w:val="Heading2"/>
      </w:pPr>
      <w:r>
        <w:t>ESIC/EPF: N/A</w:t>
      </w:r>
    </w:p>
    <w:p>
      <w:pPr>
        <w:pStyle w:val="Heading2"/>
      </w:pPr>
      <w:r>
        <w:t>Litigations: N/A</w:t>
      </w:r>
    </w:p>
    <w:p>
      <w:pPr>
        <w:pStyle w:val="Heading2"/>
      </w:pPr>
      <w:r>
        <w:t>Defaults: N/A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N/A</w:t>
      </w:r>
    </w:p>
    <w:p>
      <w:r>
        <w:t>6. CORPORATE GUARANTOR</w:t>
      </w:r>
    </w:p>
    <w:p>
      <w:r>
        <w:t>N/A</w:t>
      </w:r>
    </w:p>
    <w:p>
      <w:r>
        <w:t>7. GROUP ANALYSIS</w:t>
      </w:r>
    </w:p>
    <w:p>
      <w:pPr>
        <w:pStyle w:val="Heading2"/>
      </w:pPr>
      <w:r>
        <w:t>Capital Employed: N/A</w:t>
      </w:r>
    </w:p>
    <w:p>
      <w:pPr>
        <w:pStyle w:val="Heading2"/>
      </w:pPr>
      <w:r>
        <w:t>Unsecured Loan: N/A</w:t>
      </w:r>
    </w:p>
    <w:p>
      <w:pPr>
        <w:pStyle w:val="Heading2"/>
      </w:pPr>
      <w:r>
        <w:t>Debt Burden: N/A</w:t>
      </w:r>
    </w:p>
    <w:p>
      <w:pPr>
        <w:pStyle w:val="Heading2"/>
      </w:pPr>
      <w:r>
        <w:t>Turnover: N/A</w:t>
      </w:r>
    </w:p>
    <w:p>
      <w:pPr>
        <w:pStyle w:val="Heading2"/>
      </w:pPr>
      <w:r>
        <w:t>PAT: N/A</w:t>
      </w:r>
    </w:p>
    <w:p>
      <w:pPr>
        <w:pStyle w:val="Heading2"/>
      </w:pPr>
      <w:r>
        <w:t>Imputed Income: N/A</w:t>
      </w:r>
    </w:p>
    <w:p>
      <w:pPr>
        <w:pStyle w:val="Heading2"/>
      </w:pPr>
      <w:r>
        <w:t>EMI: N/A</w:t>
      </w:r>
    </w:p>
    <w:p>
      <w:pPr>
        <w:pStyle w:val="Heading2"/>
      </w:pPr>
      <w:r>
        <w:t>TOL/TNW: N/A</w:t>
      </w:r>
    </w:p>
    <w:p>
      <w:pPr>
        <w:pStyle w:val="Heading2"/>
      </w:pPr>
      <w:r>
        <w:t>Debt/Equity: N/A</w:t>
      </w:r>
    </w:p>
    <w:p>
      <w:pPr>
        <w:pStyle w:val="Heading2"/>
      </w:pPr>
      <w:r>
        <w:t>DSCR: N/A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109999.0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109999.0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N/A</w:t>
      </w:r>
    </w:p>
    <w:p>
      <w:r>
        <w:t>9. CONDITIONS FOR APPROVAL</w:t>
      </w:r>
    </w:p>
    <w:p>
      <w:r>
        <w:t>1. Enhanced Due Diligence Required: Submit Big-4 audited financials for the last 3 years. Resolve GST ITC mismatch of ₹1.15 Lakhs before disbursement.</w:t>
      </w:r>
    </w:p>
    <w:p>
      <w:r>
        <w:t>2. Additional Collateral Required: Collateral coverage ratio minimum 1.5x of loan amount. Current gap estimated at ₹0.5 Lakhs based on PD of 47.9%.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 Infosys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