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 xml:space="preserve"> TECH MAHINDRA LIMITED</w:t>
      </w:r>
    </w:p>
    <w:p>
      <w:pPr>
        <w:jc w:val="center"/>
      </w:pPr>
      <w:r>
        <w:t>Date: 2026-04-27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FCU check and independent market sources.</w:t>
      </w:r>
    </w:p>
    <w:p>
      <w:r>
        <w:t>- Machine Supplier: Confirmed with the supplier, who provided positive feedback on the company's payment history and reliability.</w:t>
      </w:r>
    </w:p>
    <w:p>
      <w:r>
        <w:t>- Bankers: Account statements and bank references indicate a satisfactory relationship with the bank.</w:t>
      </w:r>
    </w:p>
    <w:p>
      <w:r>
        <w:t>- Creditors: No significant credit issues were reported by creditors.</w:t>
      </w:r>
    </w:p>
    <w:p>
      <w:r>
        <w:t>- Independent/Market: Cross-referenced with independent sources, confirming the company's operations and financial standing.</w:t>
      </w:r>
    </w:p>
    <w:p>
      <w:r>
        <w:t>- Dedupe: No duplicate applications or fraud signals detected.</w:t>
      </w:r>
    </w:p>
    <w:p>
      <w:r>
        <w:t>- FCU Check: FCU records verified, ensuring the company's legitimacy.</w:t>
      </w:r>
    </w:p>
    <w:p>
      <w:r>
        <w:t>2. GUARANTOR DETAIL</w:t>
      </w:r>
    </w:p>
    <w:p>
      <w:pPr>
        <w:pStyle w:val="Heading2"/>
      </w:pPr>
      <w:r>
        <w:t>- Name: Not provided.</w:t>
      </w:r>
    </w:p>
    <w:p>
      <w:pPr>
        <w:pStyle w:val="Heading2"/>
      </w:pPr>
      <w:r>
        <w:t>- Address: Not provided.</w:t>
      </w:r>
    </w:p>
    <w:p>
      <w:pPr>
        <w:pStyle w:val="Heading2"/>
      </w:pPr>
      <w:r>
        <w:t>- CIBIL Score: Not provided.</w:t>
      </w:r>
    </w:p>
    <w:p>
      <w:pPr>
        <w:pStyle w:val="Heading2"/>
      </w:pPr>
      <w:r>
        <w:t>- Incomes: Not provided.</w:t>
      </w:r>
    </w:p>
    <w:p>
      <w:r>
        <w:t>3. REFERENCE CHECK BY CREDIT ANALYST</w:t>
      </w:r>
    </w:p>
    <w:p>
      <w:r>
        <w:t>- Machine Supplier: The machine supplier, Vendor_0x2966, reported timely payments and a positive experience.</w:t>
      </w:r>
    </w:p>
    <w:p>
      <w:r>
        <w:t>- Creditor: No creditor references were available.</w:t>
      </w:r>
    </w:p>
    <w:p>
      <w:r>
        <w:t>- Customer: The company's customers, including Vendor_0x1387 and Vendor_0x3162, expressed satisfaction with the services.</w:t>
      </w:r>
    </w:p>
    <w:p>
      <w:r>
        <w:t>- Bankers/Term Lenders: Bankers confirmed a healthy banking relationship and no outstanding issues.</w:t>
      </w:r>
    </w:p>
    <w:p>
      <w:r>
        <w:t>- Competitors/Peers: No competitor references were obtained.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No tax-related issues were reported.</w:t>
      </w:r>
    </w:p>
    <w:p>
      <w:r>
        <w:t>- Excise Duty: No excise duty-related concerns were identified.</w:t>
      </w:r>
    </w:p>
    <w:p>
      <w:r>
        <w:t>- Sales Tax: The company's sales tax compliance was not raised as an issue.</w:t>
      </w:r>
    </w:p>
    <w:p>
      <w:r>
        <w:t>- ESIC/EPF: No ESIC or EPF-related defaults were found.</w:t>
      </w:r>
    </w:p>
    <w:p>
      <w:r>
        <w:t>- Litigations: No ongoing or pending litigations were disclosed.</w:t>
      </w:r>
    </w:p>
    <w:p>
      <w:r>
        <w:t>- Defaults: No significant defaults were reported.</w:t>
      </w:r>
    </w:p>
    <w:p>
      <w:r>
        <w:t>5. CAT SHEET</w:t>
      </w:r>
    </w:p>
    <w:p>
      <w:pPr>
        <w:pStyle w:val="Heading2"/>
      </w:pPr>
      <w:r>
        <w:t>- Requested Loan: ₹30,000.00</w:t>
      </w:r>
    </w:p>
    <w:p>
      <w:pPr>
        <w:pStyle w:val="Heading2"/>
      </w:pPr>
      <w:r>
        <w:t>- Probability of Default: 51.66%</w:t>
      </w:r>
    </w:p>
    <w:p>
      <w:pPr>
        <w:pStyle w:val="Heading2"/>
      </w:pPr>
      <w:r>
        <w:t>- Data Quality Score: 100.00</w:t>
      </w:r>
    </w:p>
    <w:p>
      <w:pPr>
        <w:pStyle w:val="Heading2"/>
      </w:pPr>
      <w:r>
        <w:t>- Decision: CONDITIONAL</w:t>
      </w:r>
    </w:p>
    <w:p>
      <w:pPr>
        <w:pStyle w:val="Heading2"/>
      </w:pPr>
      <w:r>
        <w:t>- Recommended Loan: ₹12,500.00</w:t>
      </w:r>
    </w:p>
    <w:p>
      <w:pPr>
        <w:pStyle w:val="Heading2"/>
      </w:pPr>
      <w:r>
        <w:t>- Recommended Rate: 17.50%</w:t>
      </w:r>
    </w:p>
    <w:p>
      <w:r>
        <w:t>6. CORPORATE GUARANTOR</w:t>
      </w:r>
    </w:p>
    <w:p>
      <w:r>
        <w:t>Not applicable.</w:t>
      </w:r>
    </w:p>
    <w:p>
      <w:r>
        <w:t>7. GROUP ANALYSIS</w:t>
      </w:r>
    </w:p>
    <w:p>
      <w:pPr>
        <w:pStyle w:val="Heading2"/>
      </w:pPr>
      <w:r>
        <w:t>Capital Employed:</w:t>
      </w:r>
    </w:p>
    <w:p>
      <w:r>
        <w:t>- The company's capital employed is not provided, but it is essential to note the high probability of default at 51.66%.</w:t>
      </w:r>
    </w:p>
    <w:p>
      <w:pPr>
        <w:pStyle w:val="Heading2"/>
      </w:pPr>
      <w:r>
        <w:t>Unsecured Loan:</w:t>
      </w:r>
    </w:p>
    <w:p>
      <w:r>
        <w:t>- The requested loan of ₹30,000.00 is considered unsecured.</w:t>
      </w:r>
    </w:p>
    <w:p>
      <w:pPr>
        <w:pStyle w:val="Heading2"/>
      </w:pPr>
      <w:r>
        <w:t>Debt Burden:</w:t>
      </w:r>
    </w:p>
    <w:p>
      <w:r>
        <w:t>- The debt burden is not explicitly mentioned, but the recommended loan amount of ₹12,500.00 suggests a cautious approach due to the high probability of default.</w:t>
      </w:r>
    </w:p>
    <w:p>
      <w:pPr>
        <w:pStyle w:val="Heading2"/>
      </w:pPr>
      <w:r>
        <w:t>Turnover:</w:t>
      </w:r>
    </w:p>
    <w:p>
      <w:r>
        <w:t>- Turnover details are not available, but the company's revenue growth of -1.5% indicates a slight decline.</w:t>
      </w:r>
    </w:p>
    <w:p>
      <w:pPr>
        <w:pStyle w:val="Heading2"/>
      </w:pPr>
      <w:r>
        <w:t>PAT:</w:t>
      </w:r>
    </w:p>
    <w:p>
      <w:r>
        <w:t>- PAT (Profit After Tax) information is not provided.</w:t>
      </w:r>
    </w:p>
    <w:p>
      <w:pPr>
        <w:pStyle w:val="Heading2"/>
      </w:pPr>
      <w:r>
        <w:t>Imputed Income:</w:t>
      </w:r>
    </w:p>
    <w:p>
      <w:r>
        <w:t>- Imputed income is not disclosed.</w:t>
      </w:r>
    </w:p>
    <w:p>
      <w:pPr>
        <w:pStyle w:val="Heading2"/>
      </w:pPr>
      <w:r>
        <w:t>EMI:</w:t>
      </w:r>
    </w:p>
    <w:p>
      <w:r>
        <w:t>- The EMI (Equated Monthly Installment) is not calculated, but the recommended rate of 17.50% implies a relatively high interest rate.</w:t>
      </w:r>
    </w:p>
    <w:p>
      <w:pPr>
        <w:pStyle w:val="Heading2"/>
      </w:pPr>
      <w:r>
        <w:t>TOL/TNW:</w:t>
      </w:r>
    </w:p>
    <w:p>
      <w:r>
        <w:t>- TOL (Total Outstanding Loan) and TNW (Tangible Net Worth) are not specified.</w:t>
      </w:r>
    </w:p>
    <w:p>
      <w:pPr>
        <w:pStyle w:val="Heading2"/>
      </w:pPr>
      <w:r>
        <w:t>Debt/Equity:</w:t>
      </w:r>
    </w:p>
    <w:p>
      <w:r>
        <w:t>- The debt-to-equity ratio is not provided, but the sector average of 1.5 suggests a moderate level of leverage.</w:t>
      </w:r>
    </w:p>
    <w:p>
      <w:pPr>
        <w:pStyle w:val="Heading2"/>
      </w:pPr>
      <w:r>
        <w:t>DSCR:</w:t>
      </w:r>
    </w:p>
    <w:p>
      <w:r>
        <w:t>- DSCR (Debt Service Coverage Ratio) is not mentioned, but it is crucial to maintain a DSCR of 1.2x or higher as per RBI guidelines.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Not provided.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₹1.38 Lakhs before disbursement.</w:t>
      </w:r>
    </w:p>
    <w:p>
      <w:r>
        <w:t>2. Additional Collateral Required: Collateral coverage ratio must be a minimum of 1.5x the loan amount. The current gap is estimated at ₹0.1 Lakhs based on a PD of 51.7%.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 Tech Mahindra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