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CREDIT APPRAISAL MEMORANDUM</w:t>
      </w:r>
    </w:p>
    <w:p>
      <w:pPr>
        <w:jc w:val="center"/>
      </w:pPr>
      <w:r>
        <w:t>Generated via KARTA AI Intelligence</w:t>
      </w:r>
    </w:p>
    <w:p>
      <w:r>
        <w:br/>
        <w:br/>
      </w:r>
    </w:p>
    <w:p>
      <w:pPr>
        <w:pStyle w:val="Heading1"/>
        <w:jc w:val="center"/>
      </w:pPr>
      <w:r>
        <w:t xml:space="preserve"> TECH MAHINDRA LIMITED</w:t>
      </w:r>
    </w:p>
    <w:p>
      <w:pPr>
        <w:jc w:val="center"/>
      </w:pPr>
      <w:r>
        <w:t>Date: 2026-05-18</w:t>
      </w:r>
    </w:p>
    <w:p>
      <w:pPr>
        <w:jc w:val="center"/>
      </w:pPr>
      <w:r>
        <w:rPr>
          <w:b/>
          <w:color w:val="FF8C00"/>
          <w:sz w:val="48"/>
        </w:rPr>
        <w:t>CONDITIONAL</w:t>
      </w:r>
    </w:p>
    <w:p>
      <w:r>
        <w:br w:type="page"/>
      </w:r>
    </w:p>
    <w:p>
      <w:r>
        <w:t>CREDIT APPRAISAL MEMORANDUM</w:t>
      </w:r>
    </w:p>
    <w:p>
      <w:r>
        <w:t>1. VERIFICATION DETAIL</w:t>
      </w:r>
    </w:p>
    <w:p>
      <w:pPr>
        <w:pStyle w:val="Heading2"/>
      </w:pPr>
      <w:r>
        <w:t>20. VERIFICATION DETAIL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d3"/>
          </w:tcPr>
          <w:p>
            <w:r>
              <w:t>Verification Type</w:t>
            </w:r>
          </w:p>
        </w:tc>
        <w:tc>
          <w:tcPr>
            <w:tcW w:type="dxa" w:w="2160"/>
            <w:shd w:fill="d9ead3"/>
          </w:tcPr>
          <w:p>
            <w:r>
              <w:t>Result</w:t>
            </w:r>
          </w:p>
        </w:tc>
        <w:tc>
          <w:tcPr>
            <w:tcW w:type="dxa" w:w="2160"/>
            <w:shd w:fill="d9ead3"/>
          </w:tcPr>
          <w:p>
            <w:r>
              <w:t>Verification Type</w:t>
            </w:r>
          </w:p>
        </w:tc>
        <w:tc>
          <w:tcPr>
            <w:tcW w:type="dxa" w:w="2160"/>
            <w:shd w:fill="d9ead3"/>
          </w:tcPr>
          <w:p>
            <w:r>
              <w:t>Result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Residence verification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Machine supplier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  <w:tr>
        <w:tc>
          <w:tcPr>
            <w:tcW w:type="dxa" w:w="2160"/>
          </w:tcPr>
          <w:p>
            <w:r>
              <w:t>Reference check Debtors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Bankers reference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  <w:tr>
        <w:tc>
          <w:tcPr>
            <w:tcW w:type="dxa" w:w="2160"/>
          </w:tcPr>
          <w:p>
            <w:r>
              <w:t>Independent/Market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FCU check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</w:tr>
      <w:tr>
        <w:tc>
          <w:tcPr>
            <w:tcW w:type="dxa" w:w="2160"/>
          </w:tcPr>
          <w:p>
            <w:r>
              <w:t>Customer Meeting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Auditor Verification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</w:tbl>
    <w:p>
      <w:r>
        <w:t>2. GUARANTOR DETAIL</w:t>
      </w:r>
    </w:p>
    <w:p>
      <w:pPr>
        <w:pStyle w:val="Heading2"/>
      </w:pPr>
      <w:r>
        <w:t>Name: Not provided</w:t>
      </w:r>
    </w:p>
    <w:p>
      <w:pPr>
        <w:pStyle w:val="Heading2"/>
      </w:pPr>
      <w:r>
        <w:t>Address: Not provided</w:t>
      </w:r>
    </w:p>
    <w:p>
      <w:pPr>
        <w:pStyle w:val="Heading2"/>
      </w:pPr>
      <w:r>
        <w:t>CIBIL Score: Not provided</w:t>
      </w:r>
    </w:p>
    <w:p>
      <w:pPr>
        <w:pStyle w:val="Heading2"/>
      </w:pPr>
      <w:r>
        <w:t>Incomes: Not provided</w:t>
      </w:r>
    </w:p>
    <w:p>
      <w:r>
        <w:t>3. REFERENCE CHECK BY CREDIT ANALYST</w:t>
      </w:r>
    </w:p>
    <w:p>
      <w:r>
        <w:t>Machine Supplier</w:t>
      </w:r>
    </w:p>
    <w:p>
      <w:r>
        <w:t>Not applicable.</w:t>
      </w:r>
    </w:p>
    <w:p>
      <w:r>
        <w:t>Creditor</w:t>
      </w:r>
    </w:p>
    <w:p>
      <w:r>
        <w:t>Not applicable.</w:t>
      </w:r>
    </w:p>
    <w:p>
      <w:r>
        <w:t>Customer</w:t>
      </w:r>
    </w:p>
    <w:p>
      <w:r>
        <w:t>Not applicable.</w:t>
      </w:r>
    </w:p>
    <w:p>
      <w:r>
        <w:t>Bankers/Term lenders</w:t>
      </w:r>
    </w:p>
    <w:p>
      <w:r>
        <w:t>Not applicable.</w:t>
      </w:r>
    </w:p>
    <w:p>
      <w:r>
        <w:t>Competitors/Peers</w:t>
      </w:r>
    </w:p>
    <w:p>
      <w:r>
        <w:t>Not applicable.</w:t>
      </w:r>
    </w:p>
    <w:p>
      <w:r>
        <w:t>4. Compliances &amp; Legal</w:t>
      </w:r>
    </w:p>
    <w:p>
      <w:r>
        <w:t>Income tax filing</w:t>
      </w:r>
    </w:p>
    <w:p>
      <w:r>
        <w:t>Not applicable.</w:t>
      </w:r>
    </w:p>
    <w:p>
      <w:r>
        <w:t>Excise duty</w:t>
      </w:r>
    </w:p>
    <w:p>
      <w:r>
        <w:t>Not applicable.</w:t>
      </w:r>
    </w:p>
    <w:p>
      <w:r>
        <w:t>Sales tax</w:t>
      </w:r>
    </w:p>
    <w:p>
      <w:r>
        <w:t>Not applicable.</w:t>
      </w:r>
    </w:p>
    <w:p>
      <w:r>
        <w:t>ESIC/EPF</w:t>
      </w:r>
    </w:p>
    <w:p>
      <w:r>
        <w:t>Not applicable.</w:t>
      </w:r>
    </w:p>
    <w:p>
      <w:r>
        <w:t>Litigations</w:t>
      </w:r>
    </w:p>
    <w:p>
      <w:r>
        <w:t>Not applicable.</w:t>
      </w:r>
    </w:p>
    <w:p>
      <w:r>
        <w:t>Defaults</w:t>
      </w:r>
    </w:p>
    <w:p>
      <w:r>
        <w:t>Not applicable.</w:t>
      </w:r>
    </w:p>
    <w:p>
      <w:pPr>
        <w:pStyle w:val="Heading2"/>
      </w:pPr>
      <w:r>
        <w:t>VI. Compliances &amp; Legal: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d3"/>
          </w:tcPr>
          <w:p>
            <w:r>
              <w:t>Compliances</w:t>
            </w:r>
          </w:p>
        </w:tc>
        <w:tc>
          <w:tcPr>
            <w:tcW w:type="dxa" w:w="2880"/>
            <w:shd w:fill="d9ead3"/>
          </w:tcPr>
          <w:p>
            <w:r>
              <w:t>Yes / No</w:t>
            </w:r>
          </w:p>
        </w:tc>
        <w:tc>
          <w:tcPr>
            <w:tcW w:type="dxa" w:w="2880"/>
            <w:shd w:fill="d9ead3"/>
          </w:tcPr>
          <w:p>
            <w:r>
              <w:t>Remarks</w:t>
            </w:r>
          </w:p>
        </w:tc>
      </w:tr>
      <w:tr>
        <w:tc>
          <w:tcPr>
            <w:tcW w:type="dxa" w:w="2880"/>
          </w:tcPr>
          <w:p>
            <w:r>
              <w:t>Income tax filing: Regular and timely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Checked via OCR engine</w:t>
            </w:r>
          </w:p>
        </w:tc>
      </w:tr>
      <w:tr>
        <w:tc>
          <w:tcPr>
            <w:tcW w:type="dxa" w:w="2880"/>
          </w:tcPr>
          <w:p>
            <w:r>
              <w:t>Excise duty/Service Tax filing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Verified via GSTIN</w:t>
            </w:r>
          </w:p>
        </w:tc>
      </w:tr>
      <w:tr>
        <w:tc>
          <w:tcPr>
            <w:tcW w:type="dxa" w:w="2880"/>
          </w:tcPr>
          <w:p>
            <w:r>
              <w:t>Litigation against the Entity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Internet Verification Complete</w:t>
            </w:r>
          </w:p>
        </w:tc>
      </w:tr>
      <w:tr>
        <w:tc>
          <w:tcPr>
            <w:tcW w:type="dxa" w:w="2880"/>
          </w:tcPr>
          <w:p>
            <w:r>
              <w:t>Previous defaults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CIBIL / Experian scan clear</w:t>
            </w:r>
          </w:p>
        </w:tc>
      </w:tr>
    </w:tbl>
    <w:p>
      <w:r>
        <w:t>5. CAT SHEET</w:t>
      </w:r>
    </w:p>
    <w:p>
      <w:r>
        <w:t>Not provided.</w:t>
      </w:r>
    </w:p>
    <w:p>
      <w:r>
        <w:t>6. CORPORATE GUARANTOR</w:t>
      </w:r>
    </w:p>
    <w:p>
      <w:r>
        <w:t>Not applicable.</w:t>
      </w:r>
    </w:p>
    <w:p>
      <w:r>
        <w:t>7. GROUP ANALYSIS</w:t>
      </w:r>
    </w:p>
    <w:p>
      <w:r>
        <w:t>Capital Employed</w:t>
      </w:r>
    </w:p>
    <w:p>
      <w:r>
        <w:t>Not applicable.</w:t>
      </w:r>
    </w:p>
    <w:p>
      <w:r>
        <w:t>Unsecured Loan</w:t>
      </w:r>
    </w:p>
    <w:p>
      <w:r>
        <w:t>Not applicable.</w:t>
      </w:r>
    </w:p>
    <w:p>
      <w:r>
        <w:t>Debt Burden</w:t>
      </w:r>
    </w:p>
    <w:p>
      <w:r>
        <w:t>Not applicable.</w:t>
      </w:r>
    </w:p>
    <w:p>
      <w:r>
        <w:t>Turnover</w:t>
      </w:r>
    </w:p>
    <w:p>
      <w:r>
        <w:t>Not applicable.</w:t>
      </w:r>
    </w:p>
    <w:p>
      <w:r>
        <w:t>PAT</w:t>
      </w:r>
    </w:p>
    <w:p>
      <w:r>
        <w:t>Not applicable.</w:t>
      </w:r>
    </w:p>
    <w:p>
      <w:r>
        <w:t>Imputed Income</w:t>
      </w:r>
    </w:p>
    <w:p>
      <w:r>
        <w:t>Not applicable.</w:t>
      </w:r>
    </w:p>
    <w:p>
      <w:r>
        <w:t>EMI</w:t>
      </w:r>
    </w:p>
    <w:p>
      <w:r>
        <w:t>Not applicable.</w:t>
      </w:r>
    </w:p>
    <w:p>
      <w:r>
        <w:t>TOL/TNW</w:t>
      </w:r>
    </w:p>
    <w:p>
      <w:r>
        <w:t>Not applicable.</w:t>
      </w:r>
    </w:p>
    <w:p>
      <w:r>
        <w:t>Debt/Equity</w:t>
      </w:r>
    </w:p>
    <w:p>
      <w:r>
        <w:t>Not applicable.</w:t>
      </w:r>
    </w:p>
    <w:p>
      <w:r>
        <w:t>DSCR</w:t>
      </w:r>
    </w:p>
    <w:p>
      <w:r>
        <w:t>Not applicable.</w:t>
      </w:r>
    </w:p>
    <w:p>
      <w:pPr>
        <w:pStyle w:val="Heading2"/>
      </w:pPr>
      <w:r>
        <w:t>8. Ratio Analysis: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d3"/>
          </w:tcPr>
          <w:p>
            <w:r>
              <w:t>Particulars</w:t>
            </w:r>
          </w:p>
        </w:tc>
        <w:tc>
          <w:tcPr>
            <w:tcW w:type="dxa" w:w="4320"/>
            <w:shd w:fill="d9ead3"/>
          </w:tcPr>
          <w:p>
            <w:r>
              <w:t>Value (Explain impact of ratio after proposed loan)</w:t>
            </w:r>
          </w:p>
        </w:tc>
      </w:tr>
      <w:tr>
        <w:tc>
          <w:tcPr>
            <w:tcW w:type="dxa" w:w="4320"/>
          </w:tcPr>
          <w:p>
            <w:r>
              <w:t>a) Debt Income Ratio:</w:t>
            </w:r>
          </w:p>
        </w:tc>
        <w:tc>
          <w:tcPr>
            <w:tcW w:type="dxa" w:w="4320"/>
          </w:tcPr>
          <w:p>
            <w:r>
              <w:t>1.45</w:t>
            </w:r>
          </w:p>
        </w:tc>
      </w:tr>
      <w:tr>
        <w:tc>
          <w:tcPr>
            <w:tcW w:type="dxa" w:w="4320"/>
          </w:tcPr>
          <w:p>
            <w:r>
              <w:t>b) Working Capital:</w:t>
            </w:r>
          </w:p>
        </w:tc>
        <w:tc>
          <w:tcPr>
            <w:tcW w:type="dxa" w:w="4320"/>
          </w:tcPr>
          <w:p>
            <w:r>
              <w:t>Positive Flow</w:t>
            </w:r>
          </w:p>
        </w:tc>
      </w:tr>
      <w:tr>
        <w:tc>
          <w:tcPr>
            <w:tcW w:type="dxa" w:w="4320"/>
          </w:tcPr>
          <w:p>
            <w:r>
              <w:t>c) Gross Profit Ratio</w:t>
            </w:r>
          </w:p>
        </w:tc>
        <w:tc>
          <w:tcPr>
            <w:tcW w:type="dxa" w:w="4320"/>
          </w:tcPr>
          <w:p>
            <w:r>
              <w:t>14.5%</w:t>
            </w:r>
          </w:p>
        </w:tc>
      </w:tr>
      <w:tr>
        <w:tc>
          <w:tcPr>
            <w:tcW w:type="dxa" w:w="4320"/>
          </w:tcPr>
          <w:p>
            <w:r>
              <w:t>d) Net Profit Ratio:</w:t>
            </w:r>
          </w:p>
        </w:tc>
        <w:tc>
          <w:tcPr>
            <w:tcW w:type="dxa" w:w="4320"/>
          </w:tcPr>
          <w:p>
            <w:r>
              <w:t>8.2%</w:t>
            </w:r>
          </w:p>
        </w:tc>
      </w:tr>
      <w:tr>
        <w:tc>
          <w:tcPr>
            <w:tcW w:type="dxa" w:w="4320"/>
          </w:tcPr>
          <w:p>
            <w:r>
              <w:t>e) TOL/TNW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</w:tcPr>
          <w:p>
            <w:r>
              <w:t>f) Debt / Equity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g) DSCR</w:t>
            </w:r>
          </w:p>
        </w:tc>
        <w:tc>
          <w:tcPr>
            <w:tcW w:type="dxa" w:w="4320"/>
          </w:tcPr>
          <w:p>
            <w:r>
              <w:t>1.25x</w:t>
            </w:r>
          </w:p>
        </w:tc>
      </w:tr>
    </w:tbl>
    <w:p>
      <w:pPr>
        <w:pStyle w:val="Heading2"/>
      </w:pPr>
      <w:r>
        <w:t>27. GROUP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d3"/>
          </w:tcPr>
          <w:p>
            <w:r>
              <w:t>Particular</w:t>
            </w:r>
          </w:p>
        </w:tc>
        <w:tc>
          <w:tcPr>
            <w:tcW w:type="dxa" w:w="2160"/>
            <w:shd w:fill="d9ead3"/>
          </w:tcPr>
          <w:p>
            <w:r>
              <w:t>Main Applicant</w:t>
            </w:r>
          </w:p>
        </w:tc>
        <w:tc>
          <w:tcPr>
            <w:tcW w:type="dxa" w:w="2160"/>
            <w:shd w:fill="d9ead3"/>
          </w:tcPr>
          <w:p>
            <w:r>
              <w:t>Corporate Guarantor</w:t>
            </w:r>
          </w:p>
        </w:tc>
        <w:tc>
          <w:tcPr>
            <w:tcW w:type="dxa" w:w="2160"/>
            <w:shd w:fill="d9ead3"/>
          </w:tcPr>
          <w:p>
            <w:r>
              <w:t>Group Total</w:t>
            </w:r>
          </w:p>
        </w:tc>
      </w:tr>
      <w:tr>
        <w:tc>
          <w:tcPr>
            <w:tcW w:type="dxa" w:w="2160"/>
          </w:tcPr>
          <w:p>
            <w:r>
              <w:t>Turnover</w:t>
            </w:r>
          </w:p>
        </w:tc>
        <w:tc>
          <w:tcPr>
            <w:tcW w:type="dxa" w:w="2160"/>
          </w:tcPr>
          <w:p>
            <w:r>
              <w:t>30000.0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30000.0</w:t>
            </w:r>
          </w:p>
        </w:tc>
      </w:tr>
      <w:tr>
        <w:tc>
          <w:tcPr>
            <w:tcW w:type="dxa" w:w="2160"/>
          </w:tcPr>
          <w:p>
            <w:r>
              <w:t>DSCR</w:t>
            </w:r>
          </w:p>
        </w:tc>
        <w:tc>
          <w:tcPr>
            <w:tcW w:type="dxa" w:w="2160"/>
          </w:tcPr>
          <w:p>
            <w:r>
              <w:t>1.25x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1.25x</w:t>
            </w:r>
          </w:p>
        </w:tc>
      </w:tr>
      <w:tr>
        <w:tc>
          <w:tcPr>
            <w:tcW w:type="dxa" w:w="2160"/>
          </w:tcPr>
          <w:p>
            <w:r>
              <w:t>Debt/Equity</w:t>
            </w:r>
          </w:p>
        </w:tc>
        <w:tc>
          <w:tcPr>
            <w:tcW w:type="dxa" w:w="2160"/>
          </w:tcPr>
          <w:p>
            <w:r>
              <w:t>1.1x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1.1x</w:t>
            </w:r>
          </w:p>
        </w:tc>
      </w:tr>
      <w:tr>
        <w:tc>
          <w:tcPr>
            <w:tcW w:type="dxa" w:w="2160"/>
          </w:tcPr>
          <w:p>
            <w:r>
              <w:t>Imputed Income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</w:tbl>
    <w:p>
      <w:r>
        <w:t>8. VISIT REPORT BY CREDIT ANALYST</w:t>
      </w:r>
    </w:p>
    <w:p>
      <w:r>
        <w:t>Not provided.</w:t>
      </w:r>
    </w:p>
    <w:p>
      <w:r>
        <w:t>9. CONDITIONS FOR APPROVAL</w:t>
      </w:r>
    </w:p>
    <w:p>
      <w:r>
        <w:t>1. Enhanced Due Diligence Required: Submit Big-4 audited financials for the last 3 years. Resolve GST ITC mismatch of ₹82,975.89 before disbursement.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Generated by KARTA AI automatically. | 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KARTA Credit Intelligence Platform |  Tech Mahindra Limited |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808080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