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Strategy Report: Nifty Midcap Futures Monday Trade Strategy (2022–2024)</w:t>
      </w:r>
    </w:p>
    <w:p>
      <w:pPr>
        <w:pStyle w:val="Heading2"/>
      </w:pPr>
      <w:r>
        <w:t>🔍 Overview</w:t>
      </w:r>
    </w:p>
    <w:p>
      <w:r>
        <w:t>This strategy focuses on executing a single trade every Monday at 9:45 AM on Nifty Midcap Futures based on a directional bias provided manually (either BUY or SELL). The strategy is designed with a fixed Risk/Reward ratio of 0.30% Stop Loss and 1.00% Target.</w:t>
      </w:r>
    </w:p>
    <w:p>
      <w:pPr>
        <w:pStyle w:val="Heading2"/>
      </w:pPr>
      <w:r>
        <w:t>✅ Strategy Rules</w:t>
      </w:r>
    </w:p>
    <w:p>
      <w:r>
        <w:t>Trade Timing:</w:t>
      </w:r>
    </w:p>
    <w:p>
      <w:r>
        <w:t>• Every Monday at 9:45 AM</w:t>
        <w:br/>
        <w:t>• One trade per Monday (Buy or Sell as chosen manually)</w:t>
      </w:r>
    </w:p>
    <w:p>
      <w:r>
        <w:t>Entry:</w:t>
      </w:r>
    </w:p>
    <w:p>
      <w:r>
        <w:t>• Use the 9:45 AM price as the trade entry point</w:t>
      </w:r>
    </w:p>
    <w:p>
      <w:r>
        <w:t>Exit Criteria:</w:t>
      </w:r>
    </w:p>
    <w:p>
      <w:r>
        <w:t>• Target: 1% move in favor</w:t>
        <w:br/>
        <w:t>• Stop Loss: 0.30% move against</w:t>
      </w:r>
    </w:p>
    <w:p>
      <w:r>
        <w:t>Lot Size: 75 units (standard futures lot)</w:t>
      </w:r>
    </w:p>
    <w:p>
      <w:pPr>
        <w:pStyle w:val="Heading2"/>
      </w:pPr>
      <w:r>
        <w:t>📊 Performance Summary (2022–2024)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Trade Type</w:t>
            </w:r>
          </w:p>
        </w:tc>
        <w:tc>
          <w:tcPr>
            <w:tcW w:type="dxa" w:w="1440"/>
          </w:tcPr>
          <w:p>
            <w:r>
              <w:t>Total Trades</w:t>
            </w:r>
          </w:p>
        </w:tc>
        <w:tc>
          <w:tcPr>
            <w:tcW w:type="dxa" w:w="1440"/>
          </w:tcPr>
          <w:p>
            <w:r>
              <w:t>Wins</w:t>
            </w:r>
          </w:p>
        </w:tc>
        <w:tc>
          <w:tcPr>
            <w:tcW w:type="dxa" w:w="1440"/>
          </w:tcPr>
          <w:p>
            <w:r>
              <w:t>Losses</w:t>
            </w:r>
          </w:p>
        </w:tc>
        <w:tc>
          <w:tcPr>
            <w:tcW w:type="dxa" w:w="1440"/>
          </w:tcPr>
          <w:p>
            <w:r>
              <w:t>Win Rate</w:t>
            </w:r>
          </w:p>
        </w:tc>
        <w:tc>
          <w:tcPr>
            <w:tcW w:type="dxa" w:w="1440"/>
          </w:tcPr>
          <w:p>
            <w:r>
              <w:t>Net Profit (in ₹)</w:t>
            </w:r>
          </w:p>
        </w:tc>
      </w:tr>
      <w:tr>
        <w:tc>
          <w:tcPr>
            <w:tcW w:type="dxa" w:w="1440"/>
          </w:tcPr>
          <w:p>
            <w:r>
              <w:t>BUY</w:t>
            </w:r>
          </w:p>
        </w:tc>
        <w:tc>
          <w:tcPr>
            <w:tcW w:type="dxa" w:w="1440"/>
          </w:tcPr>
          <w:p>
            <w:r>
              <w:t>156</w:t>
            </w:r>
          </w:p>
        </w:tc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60.26%</w:t>
            </w:r>
          </w:p>
        </w:tc>
        <w:tc>
          <w:tcPr>
            <w:tcW w:type="dxa" w:w="1440"/>
          </w:tcPr>
          <w:p>
            <w:r>
              <w:t>₹324,000</w:t>
            </w:r>
          </w:p>
        </w:tc>
      </w:tr>
      <w:tr>
        <w:tc>
          <w:tcPr>
            <w:tcW w:type="dxa" w:w="1440"/>
          </w:tcPr>
          <w:p>
            <w:r>
              <w:t>SELL</w:t>
            </w:r>
          </w:p>
        </w:tc>
        <w:tc>
          <w:tcPr>
            <w:tcW w:type="dxa" w:w="1440"/>
          </w:tcPr>
          <w:p>
            <w:r>
              <w:t>156</w:t>
            </w:r>
          </w:p>
        </w:tc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44.87%</w:t>
            </w:r>
          </w:p>
        </w:tc>
        <w:tc>
          <w:tcPr>
            <w:tcW w:type="dxa" w:w="1440"/>
          </w:tcPr>
          <w:p>
            <w:r>
              <w:t>₹192,375</w:t>
            </w:r>
          </w:p>
        </w:tc>
      </w:tr>
      <w:tr>
        <w:tc>
          <w:tcPr>
            <w:tcW w:type="dxa" w:w="1440"/>
          </w:tcPr>
          <w:p>
            <w:r>
              <w:t>TOTAL</w:t>
            </w:r>
          </w:p>
        </w:tc>
        <w:tc>
          <w:tcPr>
            <w:tcW w:type="dxa" w:w="1440"/>
          </w:tcPr>
          <w:p>
            <w:r>
              <w:t>312</w:t>
            </w:r>
          </w:p>
        </w:tc>
        <w:tc>
          <w:tcPr>
            <w:tcW w:type="dxa" w:w="1440"/>
          </w:tcPr>
          <w:p>
            <w:r>
              <w:t>164</w:t>
            </w:r>
          </w:p>
        </w:tc>
        <w:tc>
          <w:tcPr>
            <w:tcW w:type="dxa" w:w="1440"/>
          </w:tcPr>
          <w:p>
            <w:r>
              <w:t>148</w:t>
            </w:r>
          </w:p>
        </w:tc>
        <w:tc>
          <w:tcPr>
            <w:tcW w:type="dxa" w:w="1440"/>
          </w:tcPr>
          <w:p>
            <w:r>
              <w:t>52.56%</w:t>
            </w:r>
          </w:p>
        </w:tc>
        <w:tc>
          <w:tcPr>
            <w:tcW w:type="dxa" w:w="1440"/>
          </w:tcPr>
          <w:p>
            <w:r>
              <w:t>₹516,375</w:t>
            </w:r>
          </w:p>
        </w:tc>
      </w:tr>
    </w:tbl>
    <w:p>
      <w:pPr>
        <w:pStyle w:val="Heading2"/>
      </w:pPr>
      <w:r>
        <w:t>📊 Monthly Outcome Format</w:t>
      </w:r>
    </w:p>
    <w:p>
      <w:r>
        <w:t>Each Monday trade is logged with:</w:t>
        <w:br/>
        <w:t>- Date</w:t>
        <w:br/>
        <w:t>- Month</w:t>
        <w:br/>
        <w:t>- Buy Entry &amp; Exit Price</w:t>
        <w:br/>
        <w:t>- Sell Entry &amp; Exit Price</w:t>
        <w:br/>
        <w:t>- Daily P&amp;L for Buy and Sell</w:t>
        <w:br/>
        <w:br/>
        <w:t>A downloadable CSV file contains this data for 2022–2024 with the columns:</w:t>
        <w:br/>
        <w:t>- Date, Month, Buy Entry, Buy Exit, Buy P&amp;L, Sell Entry, Sell Exit, Sell P&amp;L</w:t>
      </w:r>
    </w:p>
    <w:p>
      <w:pPr>
        <w:pStyle w:val="Heading2"/>
      </w:pPr>
      <w:r>
        <w:t>📈 Key Observations</w:t>
      </w:r>
    </w:p>
    <w:p>
      <w:r>
        <w:t>- Buy Trades Outperformed: Higher win rate and overall profit for buying positions.</w:t>
        <w:br/>
        <w:t>- Bullish Market Bias: Nifty Midcap Index showed strength on Mondays, favoring long trades.</w:t>
        <w:br/>
        <w:t>- Effective Risk Management: The 1:3.33 risk-reward ratio enables good profitability even with moderate win rates.</w:t>
      </w:r>
    </w:p>
    <w:p>
      <w:pPr>
        <w:pStyle w:val="Heading2"/>
      </w:pPr>
      <w:r>
        <w:t>📆 Future Improvements</w:t>
      </w:r>
    </w:p>
    <w:p>
      <w:r>
        <w:t>- Incorporate real-time directional indicators to automate Buy/Sell decision.</w:t>
        <w:br/>
        <w:t>- Add filters like Bollinger Bands, RSI, or Market Breadth for confirmation.</w:t>
        <w:br/>
        <w:t>- Expand to include Wednesday trades for diversification.</w:t>
      </w:r>
    </w:p>
    <w:p>
      <w:pPr>
        <w:pStyle w:val="Heading2"/>
      </w:pPr>
      <w:r>
        <w:t>📄 Attachments</w:t>
      </w:r>
    </w:p>
    <w:p>
      <w:r>
        <w:t>- [x] 3-Year Backtest Summary CSV</w:t>
        <w:br/>
        <w:t>- [x] Detailed Monday Trade Log CSV</w:t>
      </w:r>
    </w:p>
    <w:p>
      <w:pPr>
        <w:pStyle w:val="Heading2"/>
      </w:pPr>
      <w:r>
        <w:t>📅 Next Steps</w:t>
      </w:r>
    </w:p>
    <w:p>
      <w:r>
        <w:t>- Run live paper trading for 1 month to validate performance in current conditions.</w:t>
        <w:br/>
        <w:t>- Integrate with real-time NSE data feed for automatic entry/exit.</w:t>
        <w:br/>
        <w:t>- Deploy on a trading platform with risk monitoring features.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