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3877AE1D" w:rsidR="000C3582" w:rsidRDefault="00662184" w:rsidP="00382162">
      <w:pPr>
        <w:pStyle w:val="NormalWeb"/>
        <w:jc w:val="both"/>
        <w:rPr>
          <w:color w:val="252525"/>
        </w:rPr>
      </w:pPr>
      <w:r>
        <w:rPr>
          <w:color w:val="252525"/>
        </w:rPr>
        <w:t xml:space="preserve">Good </w:t>
      </w:r>
      <w:r w:rsidR="009A29F9">
        <w:rPr>
          <w:color w:val="252525"/>
        </w:rPr>
        <w:t>Evening</w:t>
      </w:r>
    </w:p>
    <w:p w14:paraId="0AFDB2DC" w14:textId="02245FBB" w:rsidR="00440F94" w:rsidRDefault="00D065DE" w:rsidP="00382162">
      <w:pPr>
        <w:pStyle w:val="NormalWeb"/>
        <w:ind w:firstLine="720"/>
        <w:jc w:val="both"/>
        <w:rPr>
          <w:color w:val="252525"/>
        </w:rPr>
      </w:pPr>
      <w:r>
        <w:rPr>
          <w:color w:val="252525"/>
        </w:rPr>
        <w:t xml:space="preserve">I'm </w:t>
      </w:r>
      <w:r w:rsidR="00CA3320">
        <w:rPr>
          <w:color w:val="252525"/>
        </w:rPr>
        <w:t xml:space="preserve">Suraj </w:t>
      </w:r>
      <w:r w:rsidR="009A29F9">
        <w:rPr>
          <w:color w:val="252525"/>
        </w:rPr>
        <w:t>K</w:t>
      </w:r>
      <w:r w:rsidR="00CA3320">
        <w:rPr>
          <w:color w:val="252525"/>
        </w:rPr>
        <w:t>umar</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9A29F9"/>
    <w:rsid w:val="00AA6C06"/>
    <w:rsid w:val="00B13D26"/>
    <w:rsid w:val="00B511B3"/>
    <w:rsid w:val="00BF3D34"/>
    <w:rsid w:val="00C32891"/>
    <w:rsid w:val="00C763BB"/>
    <w:rsid w:val="00C913DC"/>
    <w:rsid w:val="00CA3320"/>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suraj.mech904@gmail.com</cp:lastModifiedBy>
  <cp:revision>50</cp:revision>
  <dcterms:created xsi:type="dcterms:W3CDTF">2022-09-10T08:57:00Z</dcterms:created>
  <dcterms:modified xsi:type="dcterms:W3CDTF">2023-04-13T12:55:00Z</dcterms:modified>
</cp:coreProperties>
</file>