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ContextBridge Last Minute DevOps Revision Guide</w:t>
      </w:r>
    </w:p>
    <w:p>
      <w:pPr>
        <w:pStyle w:val="Subtitle"/>
      </w:pPr>
      <w:r>
        <w:t>Docker continuous integration Kubernetes and observability</w:t>
      </w:r>
    </w:p>
    <w:p>
      <w:r>
        <w:rPr>
          <w:b/>
        </w:rPr>
        <w:t xml:space="preserve">Purpose  </w:t>
      </w:r>
      <w:r>
        <w:t>This compact guide connects the complete delivery toolchain in simple language for rapid revision before an interview.</w:t>
      </w:r>
    </w:p>
    <w:p>
      <w:r>
        <w:rPr>
          <w:b/>
        </w:rPr>
        <w:t xml:space="preserve">Scope  </w:t>
      </w:r>
      <w:r>
        <w:t>Docker, Make, pytest, GitHub Actions, Jenkins X, Tekton, Kaniko, registries, Kubernetes, Ingress, SonarQube, Prometheus, Grafana, ports, failures, and essential commands.</w:t>
      </w:r>
    </w:p>
    <w:p>
      <w:r>
        <w:rPr>
          <w:b/>
        </w:rPr>
        <w:t xml:space="preserve">Project  </w:t>
      </w:r>
      <w:r>
        <w:t>ContextBridge local learning repository</w:t>
      </w:r>
    </w:p>
    <w:p>
      <w:r>
        <w:rPr>
          <w:b/>
        </w:rPr>
        <w:t xml:space="preserve">Prepared  </w:t>
      </w:r>
      <w:r>
        <w:t>24 October 2026</w:t>
      </w:r>
    </w:p>
    <w:p>
      <w:pPr>
        <w:pStyle w:val="Heading2"/>
      </w:pPr>
      <w:r>
        <w:t>How to use this guide</w:t>
      </w:r>
    </w:p>
    <w:p>
      <w:pPr>
        <w:pStyle w:val="ListBullet"/>
        <w:spacing w:after="40"/>
      </w:pPr>
      <w:r>
        <w:t>Read the end to end flow first.</w:t>
      </w:r>
    </w:p>
    <w:p>
      <w:pPr>
        <w:pStyle w:val="ListBullet"/>
        <w:spacing w:after="40"/>
      </w:pPr>
      <w:r>
        <w:t>Use the comparison tables to separate tools with similar sounding roles.</w:t>
      </w:r>
    </w:p>
    <w:p>
      <w:pPr>
        <w:pStyle w:val="ListBullet"/>
        <w:spacing w:after="40"/>
      </w:pPr>
      <w:r>
        <w:t>Finish with the interview answers and five minute checklist.</w:t>
      </w:r>
    </w:p>
    <w:p>
      <w:r>
        <w:br w:type="page"/>
      </w:r>
    </w:p>
    <w:p>
      <w:pPr>
        <w:pStyle w:val="Heading1"/>
      </w:pPr>
      <w:r>
        <w:t>1 Complete end to end flow</w:t>
      </w:r>
    </w:p>
    <w:p>
      <w:pPr>
        <w:pStyle w:val="CodeBlock"/>
        <w:keepLines/>
        <w:shd w:fill="F5F6F7"/>
      </w:pPr>
      <w:r>
        <w:t>Developer writes code</w:t>
        <w:br/>
        <w:t xml:space="preserve">  ↓ git push</w:t>
        <w:br/>
        <w:t>GitHub stores source</w:t>
        <w:br/>
        <w:t xml:space="preserve">  ↓ webhook or workflow event</w:t>
        <w:br/>
        <w:t>CI runs Make pytest and quality checks</w:t>
        <w:br/>
        <w:t xml:space="preserve">  ↓</w:t>
        <w:br/>
        <w:t>Kaniko or Docker builds an image</w:t>
        <w:br/>
        <w:t xml:space="preserve">  ↓</w:t>
        <w:br/>
        <w:t>Registry stores the image</w:t>
        <w:br/>
        <w:t xml:space="preserve">  ↓</w:t>
        <w:br/>
        <w:t>Kubernetes Deployment requests that image</w:t>
        <w:br/>
        <w:t xml:space="preserve">  ↓</w:t>
        <w:br/>
        <w:t>Scheduler chooses Nodes</w:t>
        <w:br/>
        <w:t xml:space="preserve">  ↓</w:t>
        <w:br/>
        <w:t>kubelet starts containers in Pods</w:t>
        <w:br/>
        <w:t xml:space="preserve">  ↓</w:t>
        <w:br/>
        <w:t>Service gives a stable internal address</w:t>
        <w:br/>
        <w:t xml:space="preserve">  ↓</w:t>
        <w:br/>
        <w:t>Ingress routes external HTTP and HTTPS</w:t>
        <w:br/>
        <w:t xml:space="preserve">  ↓</w:t>
        <w:br/>
        <w:t>Prometheus collects metrics and Grafana displays them</w:t>
      </w:r>
    </w:p>
    <w:p>
      <w:r>
        <w:t>Build once and run the same immutable image through environments. Source belongs in Git. Images belong in a registry. Runtime configuration and secrets belong outside the image.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672"/>
        <w:gridCol w:w="5976"/>
      </w:tblGrid>
      <w:tr>
        <w:trPr>
          <w:tblHeader w:val="true"/>
        </w:trPr>
        <w:tc>
          <w:tcPr>
            <w:tcW w:type="dxa" w:w="3672"/>
            <w:shd w:fill="1F4E78"/>
            <w:tcMar>
              <w:top w:w="100" w:type="dxa"/>
              <w:start w:w="150" w:type="dxa"/>
              <w:bottom w:w="100" w:type="dxa"/>
              <w:end w:w="150" w:type="dxa"/>
            </w:tcMar>
            <w:vAlign w:val="center"/>
          </w:tcPr>
          <w:p>
            <w:pPr>
              <w:spacing w:after="0"/>
              <w:jc w:val="center"/>
            </w:pPr>
            <w:r>
              <w:rPr>
                <w:b/>
                <w:color w:val="FFFFFF"/>
                <w:sz w:val="18"/>
              </w:rPr>
              <w:t>Current ContextBridge fact</w:t>
            </w:r>
          </w:p>
        </w:tc>
        <w:tc>
          <w:tcPr>
            <w:tcW w:type="dxa" w:w="5976"/>
            <w:shd w:fill="1F4E78"/>
            <w:tcMar>
              <w:top w:w="100" w:type="dxa"/>
              <w:start w:w="150" w:type="dxa"/>
              <w:bottom w:w="100" w:type="dxa"/>
              <w:end w:w="150" w:type="dxa"/>
            </w:tcMar>
            <w:vAlign w:val="center"/>
          </w:tcPr>
          <w:p>
            <w:pPr>
              <w:spacing w:after="0"/>
              <w:jc w:val="center"/>
            </w:pPr>
            <w:r>
              <w:rPr>
                <w:b/>
                <w:color w:val="FFFFFF"/>
                <w:sz w:val="18"/>
              </w:rPr>
              <w:t>Value</w:t>
            </w:r>
          </w:p>
        </w:tc>
      </w:tr>
      <w:tr>
        <w:tc>
          <w:tcPr>
            <w:tcW w:type="dxa" w:w="3672"/>
            <w:tcMar>
              <w:top w:w="100" w:type="dxa"/>
              <w:start w:w="150" w:type="dxa"/>
              <w:bottom w:w="100" w:type="dxa"/>
              <w:end w:w="150" w:type="dxa"/>
            </w:tcMar>
            <w:vAlign w:val="center"/>
          </w:tcPr>
          <w:p>
            <w:pPr>
              <w:spacing w:after="0" w:line="252" w:lineRule="auto"/>
              <w:jc w:val="center"/>
            </w:pPr>
            <w:r>
              <w:rPr>
                <w:sz w:val="17"/>
              </w:rPr>
              <w:t>API runtime</w:t>
            </w:r>
          </w:p>
        </w:tc>
        <w:tc>
          <w:tcPr>
            <w:tcW w:type="dxa" w:w="5976"/>
            <w:tcMar>
              <w:top w:w="100" w:type="dxa"/>
              <w:start w:w="150" w:type="dxa"/>
              <w:bottom w:w="100" w:type="dxa"/>
              <w:end w:w="150" w:type="dxa"/>
            </w:tcMar>
            <w:vAlign w:val="center"/>
          </w:tcPr>
          <w:p>
            <w:pPr>
              <w:spacing w:after="0" w:line="252" w:lineRule="auto"/>
              <w:jc w:val="left"/>
            </w:pPr>
            <w:r>
              <w:rPr>
                <w:sz w:val="17"/>
              </w:rPr>
              <w:t>FastAPI with Uvicorn on container port 8000</w:t>
            </w:r>
          </w:p>
        </w:tc>
      </w:tr>
      <w:tr>
        <w:tc>
          <w:tcPr>
            <w:tcW w:type="dxa" w:w="3672"/>
            <w:tcMar>
              <w:top w:w="100" w:type="dxa"/>
              <w:start w:w="150" w:type="dxa"/>
              <w:bottom w:w="100" w:type="dxa"/>
              <w:end w:w="150" w:type="dxa"/>
            </w:tcMar>
            <w:vAlign w:val="center"/>
            <w:shd w:fill="EAF2F8"/>
          </w:tcPr>
          <w:p>
            <w:pPr>
              <w:spacing w:after="0" w:line="252" w:lineRule="auto"/>
              <w:jc w:val="center"/>
            </w:pPr>
            <w:r>
              <w:rPr>
                <w:sz w:val="17"/>
              </w:rPr>
              <w:t>Local Docker API mapping</w:t>
            </w:r>
          </w:p>
        </w:tc>
        <w:tc>
          <w:tcPr>
            <w:tcW w:type="dxa" w:w="5976"/>
            <w:tcMar>
              <w:top w:w="100" w:type="dxa"/>
              <w:start w:w="150" w:type="dxa"/>
              <w:bottom w:w="100" w:type="dxa"/>
              <w:end w:w="150" w:type="dxa"/>
            </w:tcMar>
            <w:vAlign w:val="center"/>
            <w:shd w:fill="EAF2F8"/>
          </w:tcPr>
          <w:p>
            <w:pPr>
              <w:spacing w:after="0" w:line="252" w:lineRule="auto"/>
              <w:jc w:val="left"/>
            </w:pPr>
            <w:r>
              <w:rPr>
                <w:sz w:val="17"/>
              </w:rPr>
              <w:t>Mac port 8000 or Make default 8001 to container port 8000</w:t>
            </w:r>
          </w:p>
        </w:tc>
      </w:tr>
      <w:tr>
        <w:tc>
          <w:tcPr>
            <w:tcW w:type="dxa" w:w="3672"/>
            <w:tcMar>
              <w:top w:w="100" w:type="dxa"/>
              <w:start w:w="150" w:type="dxa"/>
              <w:bottom w:w="100" w:type="dxa"/>
              <w:end w:w="150" w:type="dxa"/>
            </w:tcMar>
            <w:vAlign w:val="center"/>
          </w:tcPr>
          <w:p>
            <w:pPr>
              <w:spacing w:after="0" w:line="252" w:lineRule="auto"/>
              <w:jc w:val="center"/>
            </w:pPr>
            <w:r>
              <w:rPr>
                <w:sz w:val="17"/>
              </w:rPr>
              <w:t>Database</w:t>
            </w:r>
          </w:p>
        </w:tc>
        <w:tc>
          <w:tcPr>
            <w:tcW w:type="dxa" w:w="5976"/>
            <w:tcMar>
              <w:top w:w="100" w:type="dxa"/>
              <w:start w:w="150" w:type="dxa"/>
              <w:bottom w:w="100" w:type="dxa"/>
              <w:end w:w="150" w:type="dxa"/>
            </w:tcMar>
            <w:vAlign w:val="center"/>
          </w:tcPr>
          <w:p>
            <w:pPr>
              <w:spacing w:after="0" w:line="252" w:lineRule="auto"/>
              <w:jc w:val="left"/>
            </w:pPr>
            <w:r>
              <w:rPr>
                <w:sz w:val="17"/>
              </w:rPr>
              <w:t>PostgreSQL with pgvector on port 5432</w:t>
            </w:r>
          </w:p>
        </w:tc>
      </w:tr>
      <w:tr>
        <w:tc>
          <w:tcPr>
            <w:tcW w:type="dxa" w:w="3672"/>
            <w:tcMar>
              <w:top w:w="100" w:type="dxa"/>
              <w:start w:w="150" w:type="dxa"/>
              <w:bottom w:w="100" w:type="dxa"/>
              <w:end w:w="150" w:type="dxa"/>
            </w:tcMar>
            <w:vAlign w:val="center"/>
            <w:shd w:fill="EAF2F8"/>
          </w:tcPr>
          <w:p>
            <w:pPr>
              <w:spacing w:after="0" w:line="252" w:lineRule="auto"/>
              <w:jc w:val="center"/>
            </w:pPr>
            <w:r>
              <w:rPr>
                <w:sz w:val="17"/>
              </w:rPr>
              <w:t>Kubernetes namespace</w:t>
            </w:r>
          </w:p>
        </w:tc>
        <w:tc>
          <w:tcPr>
            <w:tcW w:type="dxa" w:w="5976"/>
            <w:tcMar>
              <w:top w:w="100" w:type="dxa"/>
              <w:start w:w="150" w:type="dxa"/>
              <w:bottom w:w="100" w:type="dxa"/>
              <w:end w:w="150" w:type="dxa"/>
            </w:tcMar>
            <w:vAlign w:val="center"/>
            <w:shd w:fill="EAF2F8"/>
          </w:tcPr>
          <w:p>
            <w:pPr>
              <w:spacing w:after="0" w:line="252" w:lineRule="auto"/>
              <w:jc w:val="center"/>
            </w:pPr>
            <w:r>
              <w:rPr>
                <w:sz w:val="17"/>
              </w:rPr>
              <w:t>contextbridge</w:t>
            </w:r>
          </w:p>
        </w:tc>
      </w:tr>
      <w:tr>
        <w:tc>
          <w:tcPr>
            <w:tcW w:type="dxa" w:w="3672"/>
            <w:tcMar>
              <w:top w:w="100" w:type="dxa"/>
              <w:start w:w="150" w:type="dxa"/>
              <w:bottom w:w="100" w:type="dxa"/>
              <w:end w:w="150" w:type="dxa"/>
            </w:tcMar>
            <w:vAlign w:val="center"/>
          </w:tcPr>
          <w:p>
            <w:pPr>
              <w:spacing w:after="0" w:line="252" w:lineRule="auto"/>
              <w:jc w:val="center"/>
            </w:pPr>
            <w:r>
              <w:rPr>
                <w:sz w:val="17"/>
              </w:rPr>
              <w:t>Deployment</w:t>
            </w:r>
          </w:p>
        </w:tc>
        <w:tc>
          <w:tcPr>
            <w:tcW w:type="dxa" w:w="5976"/>
            <w:tcMar>
              <w:top w:w="100" w:type="dxa"/>
              <w:start w:w="150" w:type="dxa"/>
              <w:bottom w:w="100" w:type="dxa"/>
              <w:end w:w="150" w:type="dxa"/>
            </w:tcMar>
            <w:vAlign w:val="center"/>
          </w:tcPr>
          <w:p>
            <w:pPr>
              <w:spacing w:after="0" w:line="252" w:lineRule="auto"/>
              <w:jc w:val="left"/>
            </w:pPr>
            <w:r>
              <w:rPr>
                <w:sz w:val="17"/>
              </w:rPr>
              <w:t>contextbridge-api with two replicas</w:t>
            </w:r>
          </w:p>
        </w:tc>
      </w:tr>
      <w:tr>
        <w:tc>
          <w:tcPr>
            <w:tcW w:type="dxa" w:w="3672"/>
            <w:tcMar>
              <w:top w:w="100" w:type="dxa"/>
              <w:start w:w="150" w:type="dxa"/>
              <w:bottom w:w="100" w:type="dxa"/>
              <w:end w:w="150" w:type="dxa"/>
            </w:tcMar>
            <w:vAlign w:val="center"/>
            <w:shd w:fill="EAF2F8"/>
          </w:tcPr>
          <w:p>
            <w:pPr>
              <w:spacing w:after="0" w:line="252" w:lineRule="auto"/>
              <w:jc w:val="center"/>
            </w:pPr>
            <w:r>
              <w:rPr>
                <w:sz w:val="17"/>
              </w:rPr>
              <w:t>Service</w:t>
            </w:r>
          </w:p>
        </w:tc>
        <w:tc>
          <w:tcPr>
            <w:tcW w:type="dxa" w:w="5976"/>
            <w:tcMar>
              <w:top w:w="100" w:type="dxa"/>
              <w:start w:w="150" w:type="dxa"/>
              <w:bottom w:w="100" w:type="dxa"/>
              <w:end w:w="150" w:type="dxa"/>
            </w:tcMar>
            <w:vAlign w:val="center"/>
            <w:shd w:fill="EAF2F8"/>
          </w:tcPr>
          <w:p>
            <w:pPr>
              <w:spacing w:after="0" w:line="252" w:lineRule="auto"/>
              <w:jc w:val="left"/>
            </w:pPr>
            <w:r>
              <w:rPr>
                <w:sz w:val="17"/>
              </w:rPr>
              <w:t>ClusterIP port 80 to named target port http which is 8000</w:t>
            </w:r>
          </w:p>
        </w:tc>
      </w:tr>
      <w:tr>
        <w:tc>
          <w:tcPr>
            <w:tcW w:type="dxa" w:w="3672"/>
            <w:tcMar>
              <w:top w:w="100" w:type="dxa"/>
              <w:start w:w="150" w:type="dxa"/>
              <w:bottom w:w="100" w:type="dxa"/>
              <w:end w:w="150" w:type="dxa"/>
            </w:tcMar>
            <w:vAlign w:val="center"/>
          </w:tcPr>
          <w:p>
            <w:pPr>
              <w:spacing w:after="0" w:line="252" w:lineRule="auto"/>
              <w:jc w:val="center"/>
            </w:pPr>
            <w:r>
              <w:rPr>
                <w:sz w:val="17"/>
              </w:rPr>
              <w:t>Local cluster</w:t>
            </w:r>
          </w:p>
        </w:tc>
        <w:tc>
          <w:tcPr>
            <w:tcW w:type="dxa" w:w="5976"/>
            <w:tcMar>
              <w:top w:w="100" w:type="dxa"/>
              <w:start w:w="150" w:type="dxa"/>
              <w:bottom w:w="100" w:type="dxa"/>
              <w:end w:w="150" w:type="dxa"/>
            </w:tcMar>
            <w:vAlign w:val="center"/>
          </w:tcPr>
          <w:p>
            <w:pPr>
              <w:spacing w:after="0" w:line="252" w:lineRule="auto"/>
              <w:jc w:val="left"/>
            </w:pPr>
            <w:r>
              <w:rPr>
                <w:sz w:val="17"/>
              </w:rPr>
              <w:t>kind with one control plane Node that also runs workloads</w:t>
            </w:r>
          </w:p>
        </w:tc>
      </w:tr>
    </w:tbl>
    <w:p>
      <w:pPr>
        <w:spacing w:after="20"/>
      </w:pPr>
    </w:p>
    <w:p>
      <w:r>
        <w:br w:type="page"/>
      </w:r>
    </w:p>
    <w:p>
      <w:pPr>
        <w:pStyle w:val="Heading1"/>
      </w:pPr>
      <w:r>
        <w:t>2 Docker in one page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32"/>
        <w:gridCol w:w="7416"/>
      </w:tblGrid>
      <w:tr>
        <w:trPr>
          <w:tblHeader w:val="true"/>
        </w:trPr>
        <w:tc>
          <w:tcPr>
            <w:tcW w:type="dxa" w:w="2232"/>
            <w:shd w:fill="1F4E78"/>
            <w:tcMar>
              <w:top w:w="100" w:type="dxa"/>
              <w:start w:w="150" w:type="dxa"/>
              <w:bottom w:w="100" w:type="dxa"/>
              <w:end w:w="150" w:type="dxa"/>
            </w:tcMar>
            <w:vAlign w:val="center"/>
          </w:tcPr>
          <w:p>
            <w:pPr>
              <w:spacing w:after="0"/>
              <w:jc w:val="center"/>
            </w:pPr>
            <w:r>
              <w:rPr>
                <w:b/>
                <w:color w:val="FFFFFF"/>
                <w:sz w:val="18"/>
              </w:rPr>
              <w:t>Concept</w:t>
            </w:r>
          </w:p>
        </w:tc>
        <w:tc>
          <w:tcPr>
            <w:tcW w:type="dxa" w:w="7416"/>
            <w:shd w:fill="1F4E78"/>
            <w:tcMar>
              <w:top w:w="100" w:type="dxa"/>
              <w:start w:w="150" w:type="dxa"/>
              <w:bottom w:w="100" w:type="dxa"/>
              <w:end w:w="150" w:type="dxa"/>
            </w:tcMar>
            <w:vAlign w:val="center"/>
          </w:tcPr>
          <w:p>
            <w:pPr>
              <w:spacing w:after="0"/>
              <w:jc w:val="center"/>
            </w:pPr>
            <w:r>
              <w:rPr>
                <w:b/>
                <w:color w:val="FFFFFF"/>
                <w:sz w:val="18"/>
              </w:rPr>
              <w:t>Remember this</w:t>
            </w:r>
          </w:p>
        </w:tc>
      </w:tr>
      <w:tr>
        <w:tc>
          <w:tcPr>
            <w:tcW w:type="dxa" w:w="2232"/>
            <w:tcMar>
              <w:top w:w="100" w:type="dxa"/>
              <w:start w:w="150" w:type="dxa"/>
              <w:bottom w:w="100" w:type="dxa"/>
              <w:end w:w="150" w:type="dxa"/>
            </w:tcMar>
            <w:vAlign w:val="center"/>
          </w:tcPr>
          <w:p>
            <w:pPr>
              <w:spacing w:after="0" w:line="252" w:lineRule="auto"/>
              <w:jc w:val="center"/>
            </w:pPr>
            <w:r>
              <w:rPr>
                <w:sz w:val="17"/>
              </w:rPr>
              <w:t>Dockerfile</w:t>
            </w:r>
          </w:p>
        </w:tc>
        <w:tc>
          <w:tcPr>
            <w:tcW w:type="dxa" w:w="7416"/>
            <w:tcMar>
              <w:top w:w="100" w:type="dxa"/>
              <w:start w:w="150" w:type="dxa"/>
              <w:bottom w:w="100" w:type="dxa"/>
              <w:end w:w="150" w:type="dxa"/>
            </w:tcMar>
            <w:vAlign w:val="center"/>
          </w:tcPr>
          <w:p>
            <w:pPr>
              <w:spacing w:after="0" w:line="252" w:lineRule="auto"/>
              <w:jc w:val="left"/>
            </w:pPr>
            <w:r>
              <w:rPr>
                <w:sz w:val="17"/>
              </w:rPr>
              <w:t>Recipe that builds an image.</w:t>
            </w:r>
          </w:p>
        </w:tc>
      </w:tr>
      <w:tr>
        <w:tc>
          <w:tcPr>
            <w:tcW w:type="dxa" w:w="2232"/>
            <w:tcMar>
              <w:top w:w="100" w:type="dxa"/>
              <w:start w:w="150" w:type="dxa"/>
              <w:bottom w:w="100" w:type="dxa"/>
              <w:end w:w="150" w:type="dxa"/>
            </w:tcMar>
            <w:vAlign w:val="center"/>
            <w:shd w:fill="EAF2F8"/>
          </w:tcPr>
          <w:p>
            <w:pPr>
              <w:spacing w:after="0" w:line="252" w:lineRule="auto"/>
              <w:jc w:val="center"/>
            </w:pPr>
            <w:r>
              <w:rPr>
                <w:sz w:val="17"/>
              </w:rPr>
              <w:t>Image</w:t>
            </w:r>
          </w:p>
        </w:tc>
        <w:tc>
          <w:tcPr>
            <w:tcW w:type="dxa" w:w="7416"/>
            <w:tcMar>
              <w:top w:w="100" w:type="dxa"/>
              <w:start w:w="150" w:type="dxa"/>
              <w:bottom w:w="100" w:type="dxa"/>
              <w:end w:w="150" w:type="dxa"/>
            </w:tcMar>
            <w:vAlign w:val="center"/>
            <w:shd w:fill="EAF2F8"/>
          </w:tcPr>
          <w:p>
            <w:pPr>
              <w:spacing w:after="0" w:line="252" w:lineRule="auto"/>
              <w:jc w:val="left"/>
            </w:pPr>
            <w:r>
              <w:rPr>
                <w:sz w:val="17"/>
              </w:rPr>
              <w:t>Immutable layered package containing application and dependencies.</w:t>
            </w:r>
          </w:p>
        </w:tc>
      </w:tr>
      <w:tr>
        <w:tc>
          <w:tcPr>
            <w:tcW w:type="dxa" w:w="2232"/>
            <w:tcMar>
              <w:top w:w="100" w:type="dxa"/>
              <w:start w:w="150" w:type="dxa"/>
              <w:bottom w:w="100" w:type="dxa"/>
              <w:end w:w="150" w:type="dxa"/>
            </w:tcMar>
            <w:vAlign w:val="center"/>
          </w:tcPr>
          <w:p>
            <w:pPr>
              <w:spacing w:after="0" w:line="252" w:lineRule="auto"/>
              <w:jc w:val="center"/>
            </w:pPr>
            <w:r>
              <w:rPr>
                <w:sz w:val="17"/>
              </w:rPr>
              <w:t>Container</w:t>
            </w:r>
          </w:p>
        </w:tc>
        <w:tc>
          <w:tcPr>
            <w:tcW w:type="dxa" w:w="7416"/>
            <w:tcMar>
              <w:top w:w="100" w:type="dxa"/>
              <w:start w:w="150" w:type="dxa"/>
              <w:bottom w:w="100" w:type="dxa"/>
              <w:end w:w="150" w:type="dxa"/>
            </w:tcMar>
            <w:vAlign w:val="center"/>
          </w:tcPr>
          <w:p>
            <w:pPr>
              <w:spacing w:after="0" w:line="252" w:lineRule="auto"/>
              <w:jc w:val="left"/>
            </w:pPr>
            <w:r>
              <w:rPr>
                <w:sz w:val="17"/>
              </w:rPr>
              <w:t>Running or stopped instance of an image with one main process.</w:t>
            </w:r>
          </w:p>
        </w:tc>
      </w:tr>
      <w:tr>
        <w:tc>
          <w:tcPr>
            <w:tcW w:type="dxa" w:w="2232"/>
            <w:tcMar>
              <w:top w:w="100" w:type="dxa"/>
              <w:start w:w="150" w:type="dxa"/>
              <w:bottom w:w="100" w:type="dxa"/>
              <w:end w:w="150" w:type="dxa"/>
            </w:tcMar>
            <w:vAlign w:val="center"/>
            <w:shd w:fill="EAF2F8"/>
          </w:tcPr>
          <w:p>
            <w:pPr>
              <w:spacing w:after="0" w:line="252" w:lineRule="auto"/>
              <w:jc w:val="center"/>
            </w:pPr>
            <w:r>
              <w:rPr>
                <w:sz w:val="17"/>
              </w:rPr>
              <w:t>Registry</w:t>
            </w:r>
          </w:p>
        </w:tc>
        <w:tc>
          <w:tcPr>
            <w:tcW w:type="dxa" w:w="7416"/>
            <w:tcMar>
              <w:top w:w="100" w:type="dxa"/>
              <w:start w:w="150" w:type="dxa"/>
              <w:bottom w:w="100" w:type="dxa"/>
              <w:end w:w="150" w:type="dxa"/>
            </w:tcMar>
            <w:vAlign w:val="center"/>
            <w:shd w:fill="EAF2F8"/>
          </w:tcPr>
          <w:p>
            <w:pPr>
              <w:spacing w:after="0" w:line="252" w:lineRule="auto"/>
              <w:jc w:val="left"/>
            </w:pPr>
            <w:r>
              <w:rPr>
                <w:sz w:val="17"/>
              </w:rPr>
              <w:t>Remote image storage such as ECR, GHCR, or Docker Hub.</w:t>
            </w:r>
          </w:p>
        </w:tc>
      </w:tr>
      <w:tr>
        <w:tc>
          <w:tcPr>
            <w:tcW w:type="dxa" w:w="2232"/>
            <w:tcMar>
              <w:top w:w="100" w:type="dxa"/>
              <w:start w:w="150" w:type="dxa"/>
              <w:bottom w:w="100" w:type="dxa"/>
              <w:end w:w="150" w:type="dxa"/>
            </w:tcMar>
            <w:vAlign w:val="center"/>
          </w:tcPr>
          <w:p>
            <w:pPr>
              <w:spacing w:after="0" w:line="252" w:lineRule="auto"/>
              <w:jc w:val="center"/>
            </w:pPr>
            <w:r>
              <w:rPr>
                <w:sz w:val="17"/>
              </w:rPr>
              <w:t>Volume</w:t>
            </w:r>
          </w:p>
        </w:tc>
        <w:tc>
          <w:tcPr>
            <w:tcW w:type="dxa" w:w="7416"/>
            <w:tcMar>
              <w:top w:w="100" w:type="dxa"/>
              <w:start w:w="150" w:type="dxa"/>
              <w:bottom w:w="100" w:type="dxa"/>
              <w:end w:w="150" w:type="dxa"/>
            </w:tcMar>
            <w:vAlign w:val="center"/>
          </w:tcPr>
          <w:p>
            <w:pPr>
              <w:spacing w:after="0" w:line="252" w:lineRule="auto"/>
              <w:jc w:val="left"/>
            </w:pPr>
            <w:r>
              <w:rPr>
                <w:sz w:val="17"/>
              </w:rPr>
              <w:t>Persistent data independent of a container writable layer.</w:t>
            </w:r>
          </w:p>
        </w:tc>
      </w:tr>
      <w:tr>
        <w:tc>
          <w:tcPr>
            <w:tcW w:type="dxa" w:w="2232"/>
            <w:tcMar>
              <w:top w:w="100" w:type="dxa"/>
              <w:start w:w="150" w:type="dxa"/>
              <w:bottom w:w="100" w:type="dxa"/>
              <w:end w:w="150" w:type="dxa"/>
            </w:tcMar>
            <w:vAlign w:val="center"/>
            <w:shd w:fill="EAF2F8"/>
          </w:tcPr>
          <w:p>
            <w:pPr>
              <w:spacing w:after="0" w:line="252" w:lineRule="auto"/>
              <w:jc w:val="center"/>
            </w:pPr>
            <w:r>
              <w:rPr>
                <w:sz w:val="17"/>
              </w:rPr>
              <w:t>Network</w:t>
            </w:r>
          </w:p>
        </w:tc>
        <w:tc>
          <w:tcPr>
            <w:tcW w:type="dxa" w:w="7416"/>
            <w:tcMar>
              <w:top w:w="100" w:type="dxa"/>
              <w:start w:w="150" w:type="dxa"/>
              <w:bottom w:w="100" w:type="dxa"/>
              <w:end w:w="150" w:type="dxa"/>
            </w:tcMar>
            <w:vAlign w:val="center"/>
            <w:shd w:fill="EAF2F8"/>
          </w:tcPr>
          <w:p>
            <w:pPr>
              <w:spacing w:after="0" w:line="252" w:lineRule="auto"/>
              <w:jc w:val="left"/>
            </w:pPr>
            <w:r>
              <w:rPr>
                <w:sz w:val="17"/>
              </w:rPr>
              <w:t>Lets containers communicate by stable service names.</w:t>
            </w:r>
          </w:p>
        </w:tc>
      </w:tr>
      <w:tr>
        <w:tc>
          <w:tcPr>
            <w:tcW w:type="dxa" w:w="2232"/>
            <w:tcMar>
              <w:top w:w="100" w:type="dxa"/>
              <w:start w:w="150" w:type="dxa"/>
              <w:bottom w:w="100" w:type="dxa"/>
              <w:end w:w="150" w:type="dxa"/>
            </w:tcMar>
            <w:vAlign w:val="center"/>
          </w:tcPr>
          <w:p>
            <w:pPr>
              <w:spacing w:after="0" w:line="252" w:lineRule="auto"/>
              <w:jc w:val="center"/>
            </w:pPr>
            <w:r>
              <w:rPr>
                <w:sz w:val="17"/>
              </w:rPr>
              <w:t>Compose</w:t>
            </w:r>
          </w:p>
        </w:tc>
        <w:tc>
          <w:tcPr>
            <w:tcW w:type="dxa" w:w="7416"/>
            <w:tcMar>
              <w:top w:w="100" w:type="dxa"/>
              <w:start w:w="150" w:type="dxa"/>
              <w:bottom w:w="100" w:type="dxa"/>
              <w:end w:w="150" w:type="dxa"/>
            </w:tcMar>
            <w:vAlign w:val="center"/>
          </w:tcPr>
          <w:p>
            <w:pPr>
              <w:spacing w:after="0" w:line="252" w:lineRule="auto"/>
              <w:jc w:val="left"/>
            </w:pPr>
            <w:r>
              <w:rPr>
                <w:sz w:val="17"/>
              </w:rPr>
              <w:t>Defines and runs a local multi container application.</w:t>
            </w:r>
          </w:p>
        </w:tc>
      </w:tr>
    </w:tbl>
    <w:p>
      <w:pPr>
        <w:spacing w:after="20"/>
      </w:pPr>
    </w:p>
    <w:p>
      <w:pPr>
        <w:pStyle w:val="CodeBlock"/>
        <w:keepLines/>
        <w:shd w:fill="F5F6F7"/>
      </w:pPr>
      <w:r>
        <w:t>docker build -t context-bridge-api:local backend</w:t>
        <w:br/>
        <w:t>docker run -p 8000:8000 context-bridge-api:local</w:t>
        <w:br/>
        <w:t># -p means HOST_PORT:CONTAINER_PORT</w:t>
        <w:br/>
        <w:br/>
        <w:t>docker compose up -d --build</w:t>
        <w:br/>
        <w:t>docker compose ps</w:t>
        <w:br/>
        <w:t>docker compose logs --tail=100 api</w:t>
        <w:br/>
        <w:t>docker compose down</w:t>
      </w:r>
    </w:p>
    <w:p>
      <w:pPr>
        <w:pStyle w:val="ListBullet"/>
        <w:spacing w:after="40"/>
      </w:pPr>
      <w:r>
        <w:t>RUN executes while building. CMD defines the default process at container start.</w:t>
      </w:r>
    </w:p>
    <w:p>
      <w:pPr>
        <w:pStyle w:val="ListBullet"/>
        <w:spacing w:after="40"/>
      </w:pPr>
      <w:r>
        <w:t>EXPOSE documents a port; it does not publish it.</w:t>
      </w:r>
    </w:p>
    <w:p>
      <w:pPr>
        <w:pStyle w:val="ListBullet"/>
        <w:spacing w:after="40"/>
      </w:pPr>
      <w:r>
        <w:t>A multi stage build keeps build tools out of the runtime image.</w:t>
      </w:r>
    </w:p>
    <w:p>
      <w:pPr>
        <w:pStyle w:val="ListBullet"/>
        <w:spacing w:after="40"/>
      </w:pPr>
      <w:r>
        <w:t>Copy dependency files before source to improve layer cache reuse.</w:t>
      </w:r>
    </w:p>
    <w:p>
      <w:pPr>
        <w:pStyle w:val="ListBullet"/>
        <w:spacing w:after="40"/>
      </w:pPr>
      <w:r>
        <w:t>Run as a nonroot user and never bake secrets into image layers.</w:t>
      </w:r>
    </w:p>
    <w:p>
      <w:r>
        <w:br w:type="page"/>
      </w:r>
    </w:p>
    <w:p>
      <w:pPr>
        <w:pStyle w:val="Heading1"/>
      </w:pPr>
      <w:r>
        <w:t>3 Automation tool roles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728"/>
        <w:gridCol w:w="5112"/>
        <w:gridCol w:w="2808"/>
      </w:tblGrid>
      <w:tr>
        <w:trPr>
          <w:tblHeader w:val="true"/>
        </w:trPr>
        <w:tc>
          <w:tcPr>
            <w:tcW w:type="dxa" w:w="1728"/>
            <w:shd w:fill="1F4E78"/>
            <w:tcMar>
              <w:top w:w="100" w:type="dxa"/>
              <w:start w:w="150" w:type="dxa"/>
              <w:bottom w:w="100" w:type="dxa"/>
              <w:end w:w="150" w:type="dxa"/>
            </w:tcMar>
            <w:vAlign w:val="center"/>
          </w:tcPr>
          <w:p>
            <w:pPr>
              <w:spacing w:after="0"/>
              <w:jc w:val="center"/>
            </w:pPr>
            <w:r>
              <w:rPr>
                <w:b/>
                <w:color w:val="FFFFFF"/>
                <w:sz w:val="18"/>
              </w:rPr>
              <w:t>Tool</w:t>
            </w:r>
          </w:p>
        </w:tc>
        <w:tc>
          <w:tcPr>
            <w:tcW w:type="dxa" w:w="5112"/>
            <w:shd w:fill="1F4E78"/>
            <w:tcMar>
              <w:top w:w="100" w:type="dxa"/>
              <w:start w:w="150" w:type="dxa"/>
              <w:bottom w:w="100" w:type="dxa"/>
              <w:end w:w="150" w:type="dxa"/>
            </w:tcMar>
            <w:vAlign w:val="center"/>
          </w:tcPr>
          <w:p>
            <w:pPr>
              <w:spacing w:after="0"/>
              <w:jc w:val="center"/>
            </w:pPr>
            <w:r>
              <w:rPr>
                <w:b/>
                <w:color w:val="FFFFFF"/>
                <w:sz w:val="18"/>
              </w:rPr>
              <w:t>One sentence role</w:t>
            </w:r>
          </w:p>
        </w:tc>
        <w:tc>
          <w:tcPr>
            <w:tcW w:type="dxa" w:w="2808"/>
            <w:shd w:fill="1F4E78"/>
            <w:tcMar>
              <w:top w:w="100" w:type="dxa"/>
              <w:start w:w="150" w:type="dxa"/>
              <w:bottom w:w="100" w:type="dxa"/>
              <w:end w:w="150" w:type="dxa"/>
            </w:tcMar>
            <w:vAlign w:val="center"/>
          </w:tcPr>
          <w:p>
            <w:pPr>
              <w:spacing w:after="0"/>
              <w:jc w:val="center"/>
            </w:pPr>
            <w:r>
              <w:rPr>
                <w:b/>
                <w:color w:val="FFFFFF"/>
                <w:sz w:val="18"/>
              </w:rPr>
              <w:t>ContextBridge status</w:t>
            </w:r>
          </w:p>
        </w:tc>
      </w:tr>
      <w:tr>
        <w:tc>
          <w:tcPr>
            <w:tcW w:type="dxa" w:w="1728"/>
            <w:tcMar>
              <w:top w:w="100" w:type="dxa"/>
              <w:start w:w="150" w:type="dxa"/>
              <w:bottom w:w="100" w:type="dxa"/>
              <w:end w:w="150" w:type="dxa"/>
            </w:tcMar>
            <w:vAlign w:val="center"/>
          </w:tcPr>
          <w:p>
            <w:pPr>
              <w:spacing w:after="0" w:line="252" w:lineRule="auto"/>
              <w:jc w:val="center"/>
            </w:pPr>
            <w:r>
              <w:rPr>
                <w:sz w:val="17"/>
              </w:rPr>
              <w:t>Make</w:t>
            </w:r>
          </w:p>
        </w:tc>
        <w:tc>
          <w:tcPr>
            <w:tcW w:type="dxa" w:w="5112"/>
            <w:tcMar>
              <w:top w:w="100" w:type="dxa"/>
              <w:start w:w="150" w:type="dxa"/>
              <w:bottom w:w="100" w:type="dxa"/>
              <w:end w:w="150" w:type="dxa"/>
            </w:tcMar>
            <w:vAlign w:val="center"/>
          </w:tcPr>
          <w:p>
            <w:pPr>
              <w:spacing w:after="0" w:line="252" w:lineRule="auto"/>
              <w:jc w:val="left"/>
            </w:pPr>
            <w:r>
              <w:rPr>
                <w:sz w:val="17"/>
              </w:rPr>
              <w:t>Local command interface for setup, tests, Compose, and migrations.</w:t>
            </w:r>
          </w:p>
        </w:tc>
        <w:tc>
          <w:tcPr>
            <w:tcW w:type="dxa" w:w="2808"/>
            <w:tcMar>
              <w:top w:w="100" w:type="dxa"/>
              <w:start w:w="150" w:type="dxa"/>
              <w:bottom w:w="100" w:type="dxa"/>
              <w:end w:w="150" w:type="dxa"/>
            </w:tcMar>
            <w:vAlign w:val="center"/>
          </w:tcPr>
          <w:p>
            <w:pPr>
              <w:spacing w:after="0" w:line="252" w:lineRule="auto"/>
              <w:jc w:val="center"/>
            </w:pPr>
            <w:r>
              <w:rPr>
                <w:sz w:val="17"/>
              </w:rPr>
              <w:t>Implemented</w:t>
            </w:r>
          </w:p>
        </w:tc>
      </w:tr>
      <w:tr>
        <w:tc>
          <w:tcPr>
            <w:tcW w:type="dxa" w:w="1728"/>
            <w:tcMar>
              <w:top w:w="100" w:type="dxa"/>
              <w:start w:w="150" w:type="dxa"/>
              <w:bottom w:w="100" w:type="dxa"/>
              <w:end w:w="150" w:type="dxa"/>
            </w:tcMar>
            <w:vAlign w:val="center"/>
            <w:shd w:fill="EAF2F8"/>
          </w:tcPr>
          <w:p>
            <w:pPr>
              <w:spacing w:after="0" w:line="252" w:lineRule="auto"/>
              <w:jc w:val="center"/>
            </w:pPr>
            <w:r>
              <w:rPr>
                <w:sz w:val="17"/>
              </w:rPr>
              <w:t>pytest</w:t>
            </w:r>
          </w:p>
        </w:tc>
        <w:tc>
          <w:tcPr>
            <w:tcW w:type="dxa" w:w="5112"/>
            <w:tcMar>
              <w:top w:w="100" w:type="dxa"/>
              <w:start w:w="150" w:type="dxa"/>
              <w:bottom w:w="100" w:type="dxa"/>
              <w:end w:w="150" w:type="dxa"/>
            </w:tcMar>
            <w:vAlign w:val="center"/>
            <w:shd w:fill="EAF2F8"/>
          </w:tcPr>
          <w:p>
            <w:pPr>
              <w:spacing w:after="0" w:line="252" w:lineRule="auto"/>
              <w:jc w:val="left"/>
            </w:pPr>
            <w:r>
              <w:rPr>
                <w:sz w:val="17"/>
              </w:rPr>
              <w:t>Runs Python tests and returns a nonzero exit code on failure.</w:t>
            </w:r>
          </w:p>
        </w:tc>
        <w:tc>
          <w:tcPr>
            <w:tcW w:type="dxa" w:w="2808"/>
            <w:tcMar>
              <w:top w:w="100" w:type="dxa"/>
              <w:start w:w="150" w:type="dxa"/>
              <w:bottom w:w="100" w:type="dxa"/>
              <w:end w:w="150" w:type="dxa"/>
            </w:tcMar>
            <w:vAlign w:val="center"/>
            <w:shd w:fill="EAF2F8"/>
          </w:tcPr>
          <w:p>
            <w:pPr>
              <w:spacing w:after="0" w:line="252" w:lineRule="auto"/>
              <w:jc w:val="center"/>
            </w:pPr>
            <w:r>
              <w:rPr>
                <w:sz w:val="17"/>
              </w:rPr>
              <w:t>Implemented</w:t>
            </w:r>
          </w:p>
        </w:tc>
      </w:tr>
      <w:tr>
        <w:tc>
          <w:tcPr>
            <w:tcW w:type="dxa" w:w="1728"/>
            <w:tcMar>
              <w:top w:w="100" w:type="dxa"/>
              <w:start w:w="150" w:type="dxa"/>
              <w:bottom w:w="100" w:type="dxa"/>
              <w:end w:w="150" w:type="dxa"/>
            </w:tcMar>
            <w:vAlign w:val="center"/>
          </w:tcPr>
          <w:p>
            <w:pPr>
              <w:spacing w:after="0" w:line="252" w:lineRule="auto"/>
              <w:jc w:val="center"/>
            </w:pPr>
            <w:r>
              <w:rPr>
                <w:sz w:val="17"/>
              </w:rPr>
              <w:t>GitHub Actions</w:t>
            </w:r>
          </w:p>
        </w:tc>
        <w:tc>
          <w:tcPr>
            <w:tcW w:type="dxa" w:w="5112"/>
            <w:tcMar>
              <w:top w:w="100" w:type="dxa"/>
              <w:start w:w="150" w:type="dxa"/>
              <w:bottom w:w="100" w:type="dxa"/>
              <w:end w:w="150" w:type="dxa"/>
            </w:tcMar>
            <w:vAlign w:val="center"/>
          </w:tcPr>
          <w:p>
            <w:pPr>
              <w:spacing w:after="0" w:line="252" w:lineRule="auto"/>
              <w:jc w:val="left"/>
            </w:pPr>
            <w:r>
              <w:rPr>
                <w:sz w:val="17"/>
              </w:rPr>
              <w:t>Starts a clean hosted runner on GitHub events and calls Make.</w:t>
            </w:r>
          </w:p>
        </w:tc>
        <w:tc>
          <w:tcPr>
            <w:tcW w:type="dxa" w:w="2808"/>
            <w:tcMar>
              <w:top w:w="100" w:type="dxa"/>
              <w:start w:w="150" w:type="dxa"/>
              <w:bottom w:w="100" w:type="dxa"/>
              <w:end w:w="150" w:type="dxa"/>
            </w:tcMar>
            <w:vAlign w:val="center"/>
          </w:tcPr>
          <w:p>
            <w:pPr>
              <w:spacing w:after="0" w:line="252" w:lineRule="auto"/>
              <w:jc w:val="center"/>
            </w:pPr>
            <w:r>
              <w:rPr>
                <w:sz w:val="17"/>
              </w:rPr>
              <w:t>Implemented CI</w:t>
            </w:r>
          </w:p>
        </w:tc>
      </w:tr>
      <w:tr>
        <w:tc>
          <w:tcPr>
            <w:tcW w:type="dxa" w:w="1728"/>
            <w:tcMar>
              <w:top w:w="100" w:type="dxa"/>
              <w:start w:w="150" w:type="dxa"/>
              <w:bottom w:w="100" w:type="dxa"/>
              <w:end w:w="150" w:type="dxa"/>
            </w:tcMar>
            <w:vAlign w:val="center"/>
            <w:shd w:fill="EAF2F8"/>
          </w:tcPr>
          <w:p>
            <w:pPr>
              <w:spacing w:after="0" w:line="252" w:lineRule="auto"/>
              <w:jc w:val="center"/>
            </w:pPr>
            <w:r>
              <w:rPr>
                <w:sz w:val="17"/>
              </w:rPr>
              <w:t>Jenkins X</w:t>
            </w:r>
          </w:p>
        </w:tc>
        <w:tc>
          <w:tcPr>
            <w:tcW w:type="dxa" w:w="5112"/>
            <w:tcMar>
              <w:top w:w="100" w:type="dxa"/>
              <w:start w:w="150" w:type="dxa"/>
              <w:bottom w:w="100" w:type="dxa"/>
              <w:end w:w="150" w:type="dxa"/>
            </w:tcMar>
            <w:vAlign w:val="center"/>
            <w:shd w:fill="EAF2F8"/>
          </w:tcPr>
          <w:p>
            <w:pPr>
              <w:spacing w:after="0" w:line="252" w:lineRule="auto"/>
              <w:jc w:val="left"/>
            </w:pPr>
            <w:r>
              <w:rPr>
                <w:sz w:val="17"/>
              </w:rPr>
              <w:t>Cloud native CI and CD platform that organizes Git based delivery on Kubernetes.</w:t>
            </w:r>
          </w:p>
        </w:tc>
        <w:tc>
          <w:tcPr>
            <w:tcW w:type="dxa" w:w="2808"/>
            <w:tcMar>
              <w:top w:w="100" w:type="dxa"/>
              <w:start w:w="150" w:type="dxa"/>
              <w:bottom w:w="100" w:type="dxa"/>
              <w:end w:w="150" w:type="dxa"/>
            </w:tcMar>
            <w:vAlign w:val="center"/>
            <w:shd w:fill="EAF2F8"/>
          </w:tcPr>
          <w:p>
            <w:pPr>
              <w:spacing w:after="0" w:line="252" w:lineRule="auto"/>
              <w:jc w:val="left"/>
            </w:pPr>
            <w:r>
              <w:rPr>
                <w:sz w:val="17"/>
              </w:rPr>
              <w:t>Company learning concept</w:t>
            </w:r>
          </w:p>
        </w:tc>
      </w:tr>
      <w:tr>
        <w:tc>
          <w:tcPr>
            <w:tcW w:type="dxa" w:w="1728"/>
            <w:tcMar>
              <w:top w:w="100" w:type="dxa"/>
              <w:start w:w="150" w:type="dxa"/>
              <w:bottom w:w="100" w:type="dxa"/>
              <w:end w:w="150" w:type="dxa"/>
            </w:tcMar>
            <w:vAlign w:val="center"/>
          </w:tcPr>
          <w:p>
            <w:pPr>
              <w:spacing w:after="0" w:line="252" w:lineRule="auto"/>
              <w:jc w:val="center"/>
            </w:pPr>
            <w:r>
              <w:rPr>
                <w:sz w:val="17"/>
              </w:rPr>
              <w:t>Tekton</w:t>
            </w:r>
          </w:p>
        </w:tc>
        <w:tc>
          <w:tcPr>
            <w:tcW w:type="dxa" w:w="5112"/>
            <w:tcMar>
              <w:top w:w="100" w:type="dxa"/>
              <w:start w:w="150" w:type="dxa"/>
              <w:bottom w:w="100" w:type="dxa"/>
              <w:end w:w="150" w:type="dxa"/>
            </w:tcMar>
            <w:vAlign w:val="center"/>
          </w:tcPr>
          <w:p>
            <w:pPr>
              <w:spacing w:after="0" w:line="252" w:lineRule="auto"/>
              <w:jc w:val="left"/>
            </w:pPr>
            <w:r>
              <w:rPr>
                <w:sz w:val="17"/>
              </w:rPr>
              <w:t>Kubernetes native engine that runs pipeline Tasks in temporary Pods.</w:t>
            </w:r>
          </w:p>
        </w:tc>
        <w:tc>
          <w:tcPr>
            <w:tcW w:type="dxa" w:w="2808"/>
            <w:tcMar>
              <w:top w:w="100" w:type="dxa"/>
              <w:start w:w="150" w:type="dxa"/>
              <w:bottom w:w="100" w:type="dxa"/>
              <w:end w:w="150" w:type="dxa"/>
            </w:tcMar>
            <w:vAlign w:val="center"/>
          </w:tcPr>
          <w:p>
            <w:pPr>
              <w:spacing w:after="0" w:line="252" w:lineRule="auto"/>
              <w:jc w:val="left"/>
            </w:pPr>
            <w:r>
              <w:rPr>
                <w:sz w:val="17"/>
              </w:rPr>
              <w:t>Company learning concept</w:t>
            </w:r>
          </w:p>
        </w:tc>
      </w:tr>
      <w:tr>
        <w:tc>
          <w:tcPr>
            <w:tcW w:type="dxa" w:w="1728"/>
            <w:tcMar>
              <w:top w:w="100" w:type="dxa"/>
              <w:start w:w="150" w:type="dxa"/>
              <w:bottom w:w="100" w:type="dxa"/>
              <w:end w:w="150" w:type="dxa"/>
            </w:tcMar>
            <w:vAlign w:val="center"/>
            <w:shd w:fill="EAF2F8"/>
          </w:tcPr>
          <w:p>
            <w:pPr>
              <w:spacing w:after="0" w:line="252" w:lineRule="auto"/>
              <w:jc w:val="center"/>
            </w:pPr>
            <w:r>
              <w:rPr>
                <w:sz w:val="17"/>
              </w:rPr>
              <w:t>Kaniko</w:t>
            </w:r>
          </w:p>
        </w:tc>
        <w:tc>
          <w:tcPr>
            <w:tcW w:type="dxa" w:w="5112"/>
            <w:tcMar>
              <w:top w:w="100" w:type="dxa"/>
              <w:start w:w="150" w:type="dxa"/>
              <w:bottom w:w="100" w:type="dxa"/>
              <w:end w:w="150" w:type="dxa"/>
            </w:tcMar>
            <w:vAlign w:val="center"/>
            <w:shd w:fill="EAF2F8"/>
          </w:tcPr>
          <w:p>
            <w:pPr>
              <w:spacing w:after="0" w:line="252" w:lineRule="auto"/>
              <w:jc w:val="left"/>
            </w:pPr>
            <w:r>
              <w:rPr>
                <w:sz w:val="17"/>
              </w:rPr>
              <w:t>Builds Dockerfile images inside a container and pushes them to a registry.</w:t>
            </w:r>
          </w:p>
        </w:tc>
        <w:tc>
          <w:tcPr>
            <w:tcW w:type="dxa" w:w="2808"/>
            <w:tcMar>
              <w:top w:w="100" w:type="dxa"/>
              <w:start w:w="150" w:type="dxa"/>
              <w:bottom w:w="100" w:type="dxa"/>
              <w:end w:w="150" w:type="dxa"/>
            </w:tcMar>
            <w:vAlign w:val="center"/>
            <w:shd w:fill="EAF2F8"/>
          </w:tcPr>
          <w:p>
            <w:pPr>
              <w:spacing w:after="0" w:line="252" w:lineRule="auto"/>
              <w:jc w:val="left"/>
            </w:pPr>
            <w:r>
              <w:rPr>
                <w:sz w:val="17"/>
              </w:rPr>
              <w:t>Company learning concept</w:t>
            </w:r>
          </w:p>
        </w:tc>
      </w:tr>
      <w:tr>
        <w:tc>
          <w:tcPr>
            <w:tcW w:type="dxa" w:w="1728"/>
            <w:tcMar>
              <w:top w:w="100" w:type="dxa"/>
              <w:start w:w="150" w:type="dxa"/>
              <w:bottom w:w="100" w:type="dxa"/>
              <w:end w:w="150" w:type="dxa"/>
            </w:tcMar>
            <w:vAlign w:val="center"/>
          </w:tcPr>
          <w:p>
            <w:pPr>
              <w:spacing w:after="0" w:line="252" w:lineRule="auto"/>
              <w:jc w:val="center"/>
            </w:pPr>
            <w:r>
              <w:rPr>
                <w:sz w:val="17"/>
              </w:rPr>
              <w:t>SonarQube</w:t>
            </w:r>
          </w:p>
        </w:tc>
        <w:tc>
          <w:tcPr>
            <w:tcW w:type="dxa" w:w="5112"/>
            <w:tcMar>
              <w:top w:w="100" w:type="dxa"/>
              <w:start w:w="150" w:type="dxa"/>
              <w:bottom w:w="100" w:type="dxa"/>
              <w:end w:w="150" w:type="dxa"/>
            </w:tcMar>
            <w:vAlign w:val="center"/>
          </w:tcPr>
          <w:p>
            <w:pPr>
              <w:spacing w:after="0" w:line="252" w:lineRule="auto"/>
              <w:jc w:val="left"/>
            </w:pPr>
            <w:r>
              <w:rPr>
                <w:sz w:val="17"/>
              </w:rPr>
              <w:t>Analyzes code quality, bugs, vulnerabilities, duplication, and quality gates.</w:t>
            </w:r>
          </w:p>
        </w:tc>
        <w:tc>
          <w:tcPr>
            <w:tcW w:type="dxa" w:w="2808"/>
            <w:tcMar>
              <w:top w:w="100" w:type="dxa"/>
              <w:start w:w="150" w:type="dxa"/>
              <w:bottom w:w="100" w:type="dxa"/>
              <w:end w:w="150" w:type="dxa"/>
            </w:tcMar>
            <w:vAlign w:val="center"/>
          </w:tcPr>
          <w:p>
            <w:pPr>
              <w:spacing w:after="0" w:line="252" w:lineRule="auto"/>
              <w:jc w:val="left"/>
            </w:pPr>
            <w:r>
              <w:rPr>
                <w:sz w:val="17"/>
              </w:rPr>
              <w:t>Future project step</w:t>
            </w:r>
          </w:p>
        </w:tc>
      </w:tr>
    </w:tbl>
    <w:p>
      <w:pPr>
        <w:spacing w:after="20"/>
      </w:pPr>
    </w:p>
    <w:p>
      <w:pPr>
        <w:pStyle w:val="Heading2"/>
      </w:pPr>
      <w:r>
        <w:t>Company pipeline in simple language</w:t>
      </w:r>
    </w:p>
    <w:p>
      <w:pPr>
        <w:pStyle w:val="CodeBlock"/>
        <w:keepLines/>
        <w:shd w:fill="F5F6F7"/>
      </w:pPr>
      <w:r>
        <w:t>Git push</w:t>
        <w:br/>
        <w:t xml:space="preserve">  ↓ Jenkins X organizes the workflow</w:t>
        <w:br/>
        <w:t>Tekton creates a temporary Task Pod</w:t>
        <w:br/>
        <w:t xml:space="preserve">  ↓ Kaniko runs inside the Pod</w:t>
        <w:br/>
        <w:t>Kaniko reads the Dockerfile</w:t>
        <w:br/>
        <w:t xml:space="preserve">  ↓</w:t>
        <w:br/>
        <w:t>Image is pushed to AWS ECR</w:t>
        <w:br/>
        <w:t xml:space="preserve">  ↓</w:t>
        <w:br/>
        <w:t>Kubernetes pulls the image and runs it</w:t>
        <w:br/>
        <w:t xml:space="preserve">  ↓</w:t>
        <w:br/>
        <w:t>Temporary build Pod is deleted</w:t>
      </w:r>
    </w:p>
    <w:p>
      <w:r>
        <w:t>Jenkins X is the organizer, Tekton is the pipeline execution engine, Kaniko is the image builder, ECR is permanent image storage, and Kubernetes is the runtime platform.</w:t>
      </w:r>
    </w:p>
    <w:p>
      <w:r>
        <w:br w:type="page"/>
      </w:r>
    </w:p>
    <w:p>
      <w:pPr>
        <w:pStyle w:val="Heading1"/>
      </w:pPr>
      <w:r>
        <w:t>4 Kubernetes in one page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24"/>
        <w:gridCol w:w="6624"/>
      </w:tblGrid>
      <w:tr>
        <w:trPr>
          <w:tblHeader w:val="true"/>
        </w:trPr>
        <w:tc>
          <w:tcPr>
            <w:tcW w:type="dxa" w:w="3024"/>
            <w:shd w:fill="1F4E78"/>
            <w:tcMar>
              <w:top w:w="100" w:type="dxa"/>
              <w:start w:w="150" w:type="dxa"/>
              <w:bottom w:w="100" w:type="dxa"/>
              <w:end w:w="150" w:type="dxa"/>
            </w:tcMar>
            <w:vAlign w:val="center"/>
          </w:tcPr>
          <w:p>
            <w:pPr>
              <w:spacing w:after="0"/>
              <w:jc w:val="center"/>
            </w:pPr>
            <w:r>
              <w:rPr>
                <w:b/>
                <w:color w:val="FFFFFF"/>
                <w:sz w:val="18"/>
              </w:rPr>
              <w:t>Component or object</w:t>
            </w:r>
          </w:p>
        </w:tc>
        <w:tc>
          <w:tcPr>
            <w:tcW w:type="dxa" w:w="6624"/>
            <w:shd w:fill="1F4E78"/>
            <w:tcMar>
              <w:top w:w="100" w:type="dxa"/>
              <w:start w:w="150" w:type="dxa"/>
              <w:bottom w:w="100" w:type="dxa"/>
              <w:end w:w="150" w:type="dxa"/>
            </w:tcMar>
            <w:vAlign w:val="center"/>
          </w:tcPr>
          <w:p>
            <w:pPr>
              <w:spacing w:after="0"/>
              <w:jc w:val="center"/>
            </w:pPr>
            <w:r>
              <w:rPr>
                <w:b/>
                <w:color w:val="FFFFFF"/>
                <w:sz w:val="18"/>
              </w:rPr>
              <w:t>Remember this</w:t>
            </w:r>
          </w:p>
        </w:tc>
      </w:tr>
      <w:tr>
        <w:tc>
          <w:tcPr>
            <w:tcW w:type="dxa" w:w="3024"/>
            <w:tcMar>
              <w:top w:w="100" w:type="dxa"/>
              <w:start w:w="150" w:type="dxa"/>
              <w:bottom w:w="100" w:type="dxa"/>
              <w:end w:w="150" w:type="dxa"/>
            </w:tcMar>
            <w:vAlign w:val="center"/>
          </w:tcPr>
          <w:p>
            <w:pPr>
              <w:spacing w:after="0" w:line="252" w:lineRule="auto"/>
              <w:jc w:val="center"/>
            </w:pPr>
            <w:r>
              <w:rPr>
                <w:sz w:val="17"/>
              </w:rPr>
              <w:t>API server</w:t>
            </w:r>
          </w:p>
        </w:tc>
        <w:tc>
          <w:tcPr>
            <w:tcW w:type="dxa" w:w="6624"/>
            <w:tcMar>
              <w:top w:w="100" w:type="dxa"/>
              <w:start w:w="150" w:type="dxa"/>
              <w:bottom w:w="100" w:type="dxa"/>
              <w:end w:w="150" w:type="dxa"/>
            </w:tcMar>
            <w:vAlign w:val="center"/>
          </w:tcPr>
          <w:p>
            <w:pPr>
              <w:spacing w:after="0" w:line="252" w:lineRule="auto"/>
              <w:jc w:val="left"/>
            </w:pPr>
            <w:r>
              <w:rPr>
                <w:sz w:val="17"/>
              </w:rPr>
              <w:t>Receives kubectl and component requests.</w:t>
            </w:r>
          </w:p>
        </w:tc>
      </w:tr>
      <w:tr>
        <w:tc>
          <w:tcPr>
            <w:tcW w:type="dxa" w:w="3024"/>
            <w:tcMar>
              <w:top w:w="100" w:type="dxa"/>
              <w:start w:w="150" w:type="dxa"/>
              <w:bottom w:w="100" w:type="dxa"/>
              <w:end w:w="150" w:type="dxa"/>
            </w:tcMar>
            <w:vAlign w:val="center"/>
            <w:shd w:fill="EAF2F8"/>
          </w:tcPr>
          <w:p>
            <w:pPr>
              <w:spacing w:after="0" w:line="252" w:lineRule="auto"/>
              <w:jc w:val="center"/>
            </w:pPr>
            <w:r>
              <w:rPr>
                <w:sz w:val="17"/>
              </w:rPr>
              <w:t>etcd</w:t>
            </w:r>
          </w:p>
        </w:tc>
        <w:tc>
          <w:tcPr>
            <w:tcW w:type="dxa" w:w="6624"/>
            <w:tcMar>
              <w:top w:w="100" w:type="dxa"/>
              <w:start w:w="150" w:type="dxa"/>
              <w:bottom w:w="100" w:type="dxa"/>
              <w:end w:w="150" w:type="dxa"/>
            </w:tcMar>
            <w:vAlign w:val="center"/>
            <w:shd w:fill="EAF2F8"/>
          </w:tcPr>
          <w:p>
            <w:pPr>
              <w:spacing w:after="0" w:line="252" w:lineRule="auto"/>
              <w:jc w:val="left"/>
            </w:pPr>
            <w:r>
              <w:rPr>
                <w:sz w:val="17"/>
              </w:rPr>
              <w:t>Stores cluster state.</w:t>
            </w:r>
          </w:p>
        </w:tc>
      </w:tr>
      <w:tr>
        <w:tc>
          <w:tcPr>
            <w:tcW w:type="dxa" w:w="3024"/>
            <w:tcMar>
              <w:top w:w="100" w:type="dxa"/>
              <w:start w:w="150" w:type="dxa"/>
              <w:bottom w:w="100" w:type="dxa"/>
              <w:end w:w="150" w:type="dxa"/>
            </w:tcMar>
            <w:vAlign w:val="center"/>
          </w:tcPr>
          <w:p>
            <w:pPr>
              <w:spacing w:after="0" w:line="252" w:lineRule="auto"/>
              <w:jc w:val="center"/>
            </w:pPr>
            <w:r>
              <w:rPr>
                <w:sz w:val="17"/>
              </w:rPr>
              <w:t>Scheduler</w:t>
            </w:r>
          </w:p>
        </w:tc>
        <w:tc>
          <w:tcPr>
            <w:tcW w:type="dxa" w:w="6624"/>
            <w:tcMar>
              <w:top w:w="100" w:type="dxa"/>
              <w:start w:w="150" w:type="dxa"/>
              <w:bottom w:w="100" w:type="dxa"/>
              <w:end w:w="150" w:type="dxa"/>
            </w:tcMar>
            <w:vAlign w:val="center"/>
          </w:tcPr>
          <w:p>
            <w:pPr>
              <w:spacing w:after="0" w:line="252" w:lineRule="auto"/>
              <w:jc w:val="left"/>
            </w:pPr>
            <w:r>
              <w:rPr>
                <w:sz w:val="17"/>
              </w:rPr>
              <w:t>Chooses the Node for a new Pod.</w:t>
            </w:r>
          </w:p>
        </w:tc>
      </w:tr>
      <w:tr>
        <w:tc>
          <w:tcPr>
            <w:tcW w:type="dxa" w:w="3024"/>
            <w:tcMar>
              <w:top w:w="100" w:type="dxa"/>
              <w:start w:w="150" w:type="dxa"/>
              <w:bottom w:w="100" w:type="dxa"/>
              <w:end w:w="150" w:type="dxa"/>
            </w:tcMar>
            <w:vAlign w:val="center"/>
            <w:shd w:fill="EAF2F8"/>
          </w:tcPr>
          <w:p>
            <w:pPr>
              <w:spacing w:after="0" w:line="252" w:lineRule="auto"/>
              <w:jc w:val="center"/>
            </w:pPr>
            <w:r>
              <w:rPr>
                <w:sz w:val="17"/>
              </w:rPr>
              <w:t>Controller manager</w:t>
            </w:r>
          </w:p>
        </w:tc>
        <w:tc>
          <w:tcPr>
            <w:tcW w:type="dxa" w:w="6624"/>
            <w:tcMar>
              <w:top w:w="100" w:type="dxa"/>
              <w:start w:w="150" w:type="dxa"/>
              <w:bottom w:w="100" w:type="dxa"/>
              <w:end w:w="150" w:type="dxa"/>
            </w:tcMar>
            <w:vAlign w:val="center"/>
            <w:shd w:fill="EAF2F8"/>
          </w:tcPr>
          <w:p>
            <w:pPr>
              <w:spacing w:after="0" w:line="252" w:lineRule="auto"/>
              <w:jc w:val="left"/>
            </w:pPr>
            <w:r>
              <w:rPr>
                <w:sz w:val="17"/>
              </w:rPr>
              <w:t>Runs reconciliation loops.</w:t>
            </w:r>
          </w:p>
        </w:tc>
      </w:tr>
      <w:tr>
        <w:tc>
          <w:tcPr>
            <w:tcW w:type="dxa" w:w="3024"/>
            <w:tcMar>
              <w:top w:w="100" w:type="dxa"/>
              <w:start w:w="150" w:type="dxa"/>
              <w:bottom w:w="100" w:type="dxa"/>
              <w:end w:w="150" w:type="dxa"/>
            </w:tcMar>
            <w:vAlign w:val="center"/>
          </w:tcPr>
          <w:p>
            <w:pPr>
              <w:spacing w:after="0" w:line="252" w:lineRule="auto"/>
              <w:jc w:val="center"/>
            </w:pPr>
            <w:r>
              <w:rPr>
                <w:sz w:val="17"/>
              </w:rPr>
              <w:t>kubelet</w:t>
            </w:r>
          </w:p>
        </w:tc>
        <w:tc>
          <w:tcPr>
            <w:tcW w:type="dxa" w:w="6624"/>
            <w:tcMar>
              <w:top w:w="100" w:type="dxa"/>
              <w:start w:w="150" w:type="dxa"/>
              <w:bottom w:w="100" w:type="dxa"/>
              <w:end w:w="150" w:type="dxa"/>
            </w:tcMar>
            <w:vAlign w:val="center"/>
          </w:tcPr>
          <w:p>
            <w:pPr>
              <w:spacing w:after="0" w:line="252" w:lineRule="auto"/>
              <w:jc w:val="left"/>
            </w:pPr>
            <w:r>
              <w:rPr>
                <w:sz w:val="17"/>
              </w:rPr>
              <w:t>Node agent that starts containers and performs probes.</w:t>
            </w:r>
          </w:p>
        </w:tc>
      </w:tr>
      <w:tr>
        <w:tc>
          <w:tcPr>
            <w:tcW w:type="dxa" w:w="3024"/>
            <w:tcMar>
              <w:top w:w="100" w:type="dxa"/>
              <w:start w:w="150" w:type="dxa"/>
              <w:bottom w:w="100" w:type="dxa"/>
              <w:end w:w="150" w:type="dxa"/>
            </w:tcMar>
            <w:vAlign w:val="center"/>
            <w:shd w:fill="EAF2F8"/>
          </w:tcPr>
          <w:p>
            <w:pPr>
              <w:spacing w:after="0" w:line="252" w:lineRule="auto"/>
              <w:jc w:val="center"/>
            </w:pPr>
            <w:r>
              <w:rPr>
                <w:sz w:val="17"/>
              </w:rPr>
              <w:t>Pod</w:t>
            </w:r>
          </w:p>
        </w:tc>
        <w:tc>
          <w:tcPr>
            <w:tcW w:type="dxa" w:w="6624"/>
            <w:tcMar>
              <w:top w:w="100" w:type="dxa"/>
              <w:start w:w="150" w:type="dxa"/>
              <w:bottom w:w="100" w:type="dxa"/>
              <w:end w:w="150" w:type="dxa"/>
            </w:tcMar>
            <w:vAlign w:val="center"/>
            <w:shd w:fill="EAF2F8"/>
          </w:tcPr>
          <w:p>
            <w:pPr>
              <w:spacing w:after="0" w:line="252" w:lineRule="auto"/>
              <w:jc w:val="left"/>
            </w:pPr>
            <w:r>
              <w:rPr>
                <w:sz w:val="17"/>
              </w:rPr>
              <w:t>Smallest scheduling unit containing one or more containers.</w:t>
            </w:r>
          </w:p>
        </w:tc>
      </w:tr>
      <w:tr>
        <w:tc>
          <w:tcPr>
            <w:tcW w:type="dxa" w:w="3024"/>
            <w:tcMar>
              <w:top w:w="100" w:type="dxa"/>
              <w:start w:w="150" w:type="dxa"/>
              <w:bottom w:w="100" w:type="dxa"/>
              <w:end w:w="150" w:type="dxa"/>
            </w:tcMar>
            <w:vAlign w:val="center"/>
          </w:tcPr>
          <w:p>
            <w:pPr>
              <w:spacing w:after="0" w:line="252" w:lineRule="auto"/>
              <w:jc w:val="center"/>
            </w:pPr>
            <w:r>
              <w:rPr>
                <w:sz w:val="17"/>
              </w:rPr>
              <w:t>Deployment</w:t>
            </w:r>
          </w:p>
        </w:tc>
        <w:tc>
          <w:tcPr>
            <w:tcW w:type="dxa" w:w="6624"/>
            <w:tcMar>
              <w:top w:w="100" w:type="dxa"/>
              <w:start w:w="150" w:type="dxa"/>
              <w:bottom w:w="100" w:type="dxa"/>
              <w:end w:w="150" w:type="dxa"/>
            </w:tcMar>
            <w:vAlign w:val="center"/>
          </w:tcPr>
          <w:p>
            <w:pPr>
              <w:spacing w:after="0" w:line="252" w:lineRule="auto"/>
              <w:jc w:val="left"/>
            </w:pPr>
            <w:r>
              <w:rPr>
                <w:sz w:val="17"/>
              </w:rPr>
              <w:t>Manages stateless replicas and rolling updates.</w:t>
            </w:r>
          </w:p>
        </w:tc>
      </w:tr>
      <w:tr>
        <w:tc>
          <w:tcPr>
            <w:tcW w:type="dxa" w:w="3024"/>
            <w:tcMar>
              <w:top w:w="100" w:type="dxa"/>
              <w:start w:w="150" w:type="dxa"/>
              <w:bottom w:w="100" w:type="dxa"/>
              <w:end w:w="150" w:type="dxa"/>
            </w:tcMar>
            <w:vAlign w:val="center"/>
            <w:shd w:fill="EAF2F8"/>
          </w:tcPr>
          <w:p>
            <w:pPr>
              <w:spacing w:after="0" w:line="252" w:lineRule="auto"/>
              <w:jc w:val="center"/>
            </w:pPr>
            <w:r>
              <w:rPr>
                <w:sz w:val="17"/>
              </w:rPr>
              <w:t>ReplicaSet</w:t>
            </w:r>
          </w:p>
        </w:tc>
        <w:tc>
          <w:tcPr>
            <w:tcW w:type="dxa" w:w="6624"/>
            <w:tcMar>
              <w:top w:w="100" w:type="dxa"/>
              <w:start w:w="150" w:type="dxa"/>
              <w:bottom w:w="100" w:type="dxa"/>
              <w:end w:w="150" w:type="dxa"/>
            </w:tcMar>
            <w:vAlign w:val="center"/>
            <w:shd w:fill="EAF2F8"/>
          </w:tcPr>
          <w:p>
            <w:pPr>
              <w:spacing w:after="0" w:line="252" w:lineRule="auto"/>
              <w:jc w:val="left"/>
            </w:pPr>
            <w:r>
              <w:rPr>
                <w:sz w:val="17"/>
              </w:rPr>
              <w:t>Keeps the requested number of Pods.</w:t>
            </w:r>
          </w:p>
        </w:tc>
      </w:tr>
      <w:tr>
        <w:tc>
          <w:tcPr>
            <w:tcW w:type="dxa" w:w="3024"/>
            <w:tcMar>
              <w:top w:w="100" w:type="dxa"/>
              <w:start w:w="150" w:type="dxa"/>
              <w:bottom w:w="100" w:type="dxa"/>
              <w:end w:w="150" w:type="dxa"/>
            </w:tcMar>
            <w:vAlign w:val="center"/>
          </w:tcPr>
          <w:p>
            <w:pPr>
              <w:spacing w:after="0" w:line="252" w:lineRule="auto"/>
              <w:jc w:val="center"/>
            </w:pPr>
            <w:r>
              <w:rPr>
                <w:sz w:val="17"/>
              </w:rPr>
              <w:t>Service</w:t>
            </w:r>
          </w:p>
        </w:tc>
        <w:tc>
          <w:tcPr>
            <w:tcW w:type="dxa" w:w="6624"/>
            <w:tcMar>
              <w:top w:w="100" w:type="dxa"/>
              <w:start w:w="150" w:type="dxa"/>
              <w:bottom w:w="100" w:type="dxa"/>
              <w:end w:w="150" w:type="dxa"/>
            </w:tcMar>
            <w:vAlign w:val="center"/>
          </w:tcPr>
          <w:p>
            <w:pPr>
              <w:spacing w:after="0" w:line="252" w:lineRule="auto"/>
              <w:jc w:val="left"/>
            </w:pPr>
            <w:r>
              <w:rPr>
                <w:sz w:val="17"/>
              </w:rPr>
              <w:t>Stable virtual IP and DNS over temporary Pod IPs.</w:t>
            </w:r>
          </w:p>
        </w:tc>
      </w:tr>
      <w:tr>
        <w:tc>
          <w:tcPr>
            <w:tcW w:type="dxa" w:w="3024"/>
            <w:tcMar>
              <w:top w:w="100" w:type="dxa"/>
              <w:start w:w="150" w:type="dxa"/>
              <w:bottom w:w="100" w:type="dxa"/>
              <w:end w:w="150" w:type="dxa"/>
            </w:tcMar>
            <w:vAlign w:val="center"/>
            <w:shd w:fill="EAF2F8"/>
          </w:tcPr>
          <w:p>
            <w:pPr>
              <w:spacing w:after="0" w:line="252" w:lineRule="auto"/>
              <w:jc w:val="center"/>
            </w:pPr>
            <w:r>
              <w:rPr>
                <w:sz w:val="17"/>
              </w:rPr>
              <w:t>Ingress</w:t>
            </w:r>
          </w:p>
        </w:tc>
        <w:tc>
          <w:tcPr>
            <w:tcW w:type="dxa" w:w="6624"/>
            <w:tcMar>
              <w:top w:w="100" w:type="dxa"/>
              <w:start w:w="150" w:type="dxa"/>
              <w:bottom w:w="100" w:type="dxa"/>
              <w:end w:w="150" w:type="dxa"/>
            </w:tcMar>
            <w:vAlign w:val="center"/>
            <w:shd w:fill="EAF2F8"/>
          </w:tcPr>
          <w:p>
            <w:pPr>
              <w:spacing w:after="0" w:line="252" w:lineRule="auto"/>
              <w:jc w:val="left"/>
            </w:pPr>
            <w:r>
              <w:rPr>
                <w:sz w:val="17"/>
              </w:rPr>
              <w:t>HTTP and HTTPS routing to Services and requires a controller.</w:t>
            </w:r>
          </w:p>
        </w:tc>
      </w:tr>
    </w:tbl>
    <w:p>
      <w:pPr>
        <w:spacing w:after="20"/>
      </w:pPr>
    </w:p>
    <w:p>
      <w:pPr>
        <w:pStyle w:val="CodeBlock"/>
        <w:keepLines/>
        <w:shd w:fill="F5F6F7"/>
      </w:pPr>
      <w:r>
        <w:t>kubectl</w:t>
        <w:br/>
        <w:t xml:space="preserve">  ↓ API server</w:t>
        <w:br/>
        <w:t>Desired state stored in etcd</w:t>
        <w:br/>
        <w:t xml:space="preserve">  ↓ controllers and scheduler</w:t>
        <w:br/>
        <w:t>Node kubelet</w:t>
        <w:br/>
        <w:t xml:space="preserve">  ↓ container runtime</w:t>
        <w:br/>
        <w:t>Pod and container</w:t>
      </w:r>
    </w:p>
    <w:p>
      <w:r>
        <w:t>The scheduler is not storage. etcd stores state. The kubelet does not select Nodes; it operates the Node already selected by the scheduler.</w:t>
      </w:r>
    </w:p>
    <w:p>
      <w:r>
        <w:br w:type="page"/>
      </w:r>
    </w:p>
    <w:p>
      <w:pPr>
        <w:pStyle w:val="Heading1"/>
      </w:pPr>
      <w:r>
        <w:t>5 Service Ingress and ports</w:t>
      </w:r>
    </w:p>
    <w:p>
      <w:pPr>
        <w:pStyle w:val="CodeBlock"/>
        <w:keepLines/>
        <w:shd w:fill="F5F6F7"/>
      </w:pPr>
      <w:r>
        <w:t>Internet</w:t>
        <w:br/>
        <w:t xml:space="preserve">  ↓ HTTPS 443</w:t>
        <w:br/>
        <w:t>Ingress controller</w:t>
        <w:br/>
        <w:t xml:space="preserve">  ↓ routing rule</w:t>
        <w:br/>
        <w:t>Service contextbridge-api port 80</w:t>
        <w:br/>
        <w:t xml:space="preserve">  ↓ targetPort http</w:t>
        <w:br/>
        <w:t>Ready Pod port 8000</w:t>
        <w:br/>
        <w:t xml:space="preserve">  ↓</w:t>
        <w:br/>
        <w:t>FastAPI route such as /health</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664"/>
        <w:gridCol w:w="6984"/>
      </w:tblGrid>
      <w:tr>
        <w:trPr>
          <w:tblHeader w:val="true"/>
        </w:trPr>
        <w:tc>
          <w:tcPr>
            <w:tcW w:type="dxa" w:w="2664"/>
            <w:shd w:fill="1F4E78"/>
            <w:tcMar>
              <w:top w:w="100" w:type="dxa"/>
              <w:start w:w="150" w:type="dxa"/>
              <w:bottom w:w="100" w:type="dxa"/>
              <w:end w:w="150" w:type="dxa"/>
            </w:tcMar>
            <w:vAlign w:val="center"/>
          </w:tcPr>
          <w:p>
            <w:pPr>
              <w:spacing w:after="0"/>
              <w:jc w:val="center"/>
            </w:pPr>
            <w:r>
              <w:rPr>
                <w:b/>
                <w:color w:val="FFFFFF"/>
                <w:sz w:val="18"/>
              </w:rPr>
              <w:t>Port</w:t>
            </w:r>
          </w:p>
        </w:tc>
        <w:tc>
          <w:tcPr>
            <w:tcW w:type="dxa" w:w="6984"/>
            <w:shd w:fill="1F4E78"/>
            <w:tcMar>
              <w:top w:w="100" w:type="dxa"/>
              <w:start w:w="150" w:type="dxa"/>
              <w:bottom w:w="100" w:type="dxa"/>
              <w:end w:w="150" w:type="dxa"/>
            </w:tcMar>
            <w:vAlign w:val="center"/>
          </w:tcPr>
          <w:p>
            <w:pPr>
              <w:spacing w:after="0"/>
              <w:jc w:val="center"/>
            </w:pPr>
            <w:r>
              <w:rPr>
                <w:b/>
                <w:color w:val="FFFFFF"/>
                <w:sz w:val="18"/>
              </w:rPr>
              <w:t>Common use in this learning stack</w:t>
            </w:r>
          </w:p>
        </w:tc>
      </w:tr>
      <w:tr>
        <w:tc>
          <w:tcPr>
            <w:tcW w:type="dxa" w:w="2664"/>
            <w:tcMar>
              <w:top w:w="100" w:type="dxa"/>
              <w:start w:w="150" w:type="dxa"/>
              <w:bottom w:w="100" w:type="dxa"/>
              <w:end w:w="150" w:type="dxa"/>
            </w:tcMar>
            <w:vAlign w:val="center"/>
          </w:tcPr>
          <w:p>
            <w:pPr>
              <w:spacing w:after="0" w:line="252" w:lineRule="auto"/>
              <w:jc w:val="center"/>
            </w:pPr>
            <w:r>
              <w:rPr>
                <w:sz w:val="17"/>
              </w:rPr>
              <w:t>22</w:t>
            </w:r>
          </w:p>
        </w:tc>
        <w:tc>
          <w:tcPr>
            <w:tcW w:type="dxa" w:w="6984"/>
            <w:tcMar>
              <w:top w:w="100" w:type="dxa"/>
              <w:start w:w="150" w:type="dxa"/>
              <w:bottom w:w="100" w:type="dxa"/>
              <w:end w:w="150" w:type="dxa"/>
            </w:tcMar>
            <w:vAlign w:val="center"/>
          </w:tcPr>
          <w:p>
            <w:pPr>
              <w:spacing w:after="0" w:line="252" w:lineRule="auto"/>
              <w:jc w:val="center"/>
            </w:pPr>
            <w:r>
              <w:rPr>
                <w:sz w:val="17"/>
              </w:rPr>
              <w:t>SSH</w:t>
            </w:r>
          </w:p>
        </w:tc>
      </w:tr>
      <w:tr>
        <w:tc>
          <w:tcPr>
            <w:tcW w:type="dxa" w:w="2664"/>
            <w:tcMar>
              <w:top w:w="100" w:type="dxa"/>
              <w:start w:w="150" w:type="dxa"/>
              <w:bottom w:w="100" w:type="dxa"/>
              <w:end w:w="150" w:type="dxa"/>
            </w:tcMar>
            <w:vAlign w:val="center"/>
            <w:shd w:fill="EAF2F8"/>
          </w:tcPr>
          <w:p>
            <w:pPr>
              <w:spacing w:after="0" w:line="252" w:lineRule="auto"/>
              <w:jc w:val="center"/>
            </w:pPr>
            <w:r>
              <w:rPr>
                <w:sz w:val="17"/>
              </w:rPr>
              <w:t>53</w:t>
            </w:r>
          </w:p>
        </w:tc>
        <w:tc>
          <w:tcPr>
            <w:tcW w:type="dxa" w:w="6984"/>
            <w:tcMar>
              <w:top w:w="100" w:type="dxa"/>
              <w:start w:w="150" w:type="dxa"/>
              <w:bottom w:w="100" w:type="dxa"/>
              <w:end w:w="150" w:type="dxa"/>
            </w:tcMar>
            <w:vAlign w:val="center"/>
            <w:shd w:fill="EAF2F8"/>
          </w:tcPr>
          <w:p>
            <w:pPr>
              <w:spacing w:after="0" w:line="252" w:lineRule="auto"/>
              <w:jc w:val="left"/>
            </w:pPr>
            <w:r>
              <w:rPr>
                <w:sz w:val="17"/>
              </w:rPr>
              <w:t>DNS including CoreDNS</w:t>
            </w:r>
          </w:p>
        </w:tc>
      </w:tr>
      <w:tr>
        <w:tc>
          <w:tcPr>
            <w:tcW w:type="dxa" w:w="2664"/>
            <w:tcMar>
              <w:top w:w="100" w:type="dxa"/>
              <w:start w:w="150" w:type="dxa"/>
              <w:bottom w:w="100" w:type="dxa"/>
              <w:end w:w="150" w:type="dxa"/>
            </w:tcMar>
            <w:vAlign w:val="center"/>
          </w:tcPr>
          <w:p>
            <w:pPr>
              <w:spacing w:after="0" w:line="252" w:lineRule="auto"/>
              <w:jc w:val="center"/>
            </w:pPr>
            <w:r>
              <w:rPr>
                <w:sz w:val="17"/>
              </w:rPr>
              <w:t>80</w:t>
            </w:r>
          </w:p>
        </w:tc>
        <w:tc>
          <w:tcPr>
            <w:tcW w:type="dxa" w:w="6984"/>
            <w:tcMar>
              <w:top w:w="100" w:type="dxa"/>
              <w:start w:w="150" w:type="dxa"/>
              <w:bottom w:w="100" w:type="dxa"/>
              <w:end w:w="150" w:type="dxa"/>
            </w:tcMar>
            <w:vAlign w:val="center"/>
          </w:tcPr>
          <w:p>
            <w:pPr>
              <w:spacing w:after="0" w:line="252" w:lineRule="auto"/>
              <w:jc w:val="left"/>
            </w:pPr>
            <w:r>
              <w:rPr>
                <w:sz w:val="17"/>
              </w:rPr>
              <w:t>HTTP and the ContextBridge Service port</w:t>
            </w:r>
          </w:p>
        </w:tc>
      </w:tr>
      <w:tr>
        <w:tc>
          <w:tcPr>
            <w:tcW w:type="dxa" w:w="2664"/>
            <w:tcMar>
              <w:top w:w="100" w:type="dxa"/>
              <w:start w:w="150" w:type="dxa"/>
              <w:bottom w:w="100" w:type="dxa"/>
              <w:end w:w="150" w:type="dxa"/>
            </w:tcMar>
            <w:vAlign w:val="center"/>
            <w:shd w:fill="EAF2F8"/>
          </w:tcPr>
          <w:p>
            <w:pPr>
              <w:spacing w:after="0" w:line="252" w:lineRule="auto"/>
              <w:jc w:val="center"/>
            </w:pPr>
            <w:r>
              <w:rPr>
                <w:sz w:val="17"/>
              </w:rPr>
              <w:t>443</w:t>
            </w:r>
          </w:p>
        </w:tc>
        <w:tc>
          <w:tcPr>
            <w:tcW w:type="dxa" w:w="6984"/>
            <w:tcMar>
              <w:top w:w="100" w:type="dxa"/>
              <w:start w:w="150" w:type="dxa"/>
              <w:bottom w:w="100" w:type="dxa"/>
              <w:end w:w="150" w:type="dxa"/>
            </w:tcMar>
            <w:vAlign w:val="center"/>
            <w:shd w:fill="EAF2F8"/>
          </w:tcPr>
          <w:p>
            <w:pPr>
              <w:spacing w:after="0" w:line="252" w:lineRule="auto"/>
              <w:jc w:val="center"/>
            </w:pPr>
            <w:r>
              <w:rPr>
                <w:sz w:val="17"/>
              </w:rPr>
              <w:t>HTTPS</w:t>
            </w:r>
          </w:p>
        </w:tc>
      </w:tr>
      <w:tr>
        <w:tc>
          <w:tcPr>
            <w:tcW w:type="dxa" w:w="2664"/>
            <w:tcMar>
              <w:top w:w="100" w:type="dxa"/>
              <w:start w:w="150" w:type="dxa"/>
              <w:bottom w:w="100" w:type="dxa"/>
              <w:end w:w="150" w:type="dxa"/>
            </w:tcMar>
            <w:vAlign w:val="center"/>
          </w:tcPr>
          <w:p>
            <w:pPr>
              <w:spacing w:after="0" w:line="252" w:lineRule="auto"/>
              <w:jc w:val="center"/>
            </w:pPr>
            <w:r>
              <w:rPr>
                <w:sz w:val="17"/>
              </w:rPr>
              <w:t>2379 to 2380</w:t>
            </w:r>
          </w:p>
        </w:tc>
        <w:tc>
          <w:tcPr>
            <w:tcW w:type="dxa" w:w="6984"/>
            <w:tcMar>
              <w:top w:w="100" w:type="dxa"/>
              <w:start w:w="150" w:type="dxa"/>
              <w:bottom w:w="100" w:type="dxa"/>
              <w:end w:w="150" w:type="dxa"/>
            </w:tcMar>
            <w:vAlign w:val="center"/>
          </w:tcPr>
          <w:p>
            <w:pPr>
              <w:spacing w:after="0" w:line="252" w:lineRule="auto"/>
              <w:jc w:val="left"/>
            </w:pPr>
            <w:r>
              <w:rPr>
                <w:sz w:val="17"/>
              </w:rPr>
              <w:t>etcd client and peer communication</w:t>
            </w:r>
          </w:p>
        </w:tc>
      </w:tr>
      <w:tr>
        <w:tc>
          <w:tcPr>
            <w:tcW w:type="dxa" w:w="2664"/>
            <w:tcMar>
              <w:top w:w="100" w:type="dxa"/>
              <w:start w:w="150" w:type="dxa"/>
              <w:bottom w:w="100" w:type="dxa"/>
              <w:end w:w="150" w:type="dxa"/>
            </w:tcMar>
            <w:vAlign w:val="center"/>
            <w:shd w:fill="EAF2F8"/>
          </w:tcPr>
          <w:p>
            <w:pPr>
              <w:spacing w:after="0" w:line="252" w:lineRule="auto"/>
              <w:jc w:val="center"/>
            </w:pPr>
            <w:r>
              <w:rPr>
                <w:sz w:val="17"/>
              </w:rPr>
              <w:t>3000</w:t>
            </w:r>
          </w:p>
        </w:tc>
        <w:tc>
          <w:tcPr>
            <w:tcW w:type="dxa" w:w="6984"/>
            <w:tcMar>
              <w:top w:w="100" w:type="dxa"/>
              <w:start w:w="150" w:type="dxa"/>
              <w:bottom w:w="100" w:type="dxa"/>
              <w:end w:w="150" w:type="dxa"/>
            </w:tcMar>
            <w:vAlign w:val="center"/>
            <w:shd w:fill="EAF2F8"/>
          </w:tcPr>
          <w:p>
            <w:pPr>
              <w:spacing w:after="0" w:line="252" w:lineRule="auto"/>
              <w:jc w:val="center"/>
            </w:pPr>
            <w:r>
              <w:rPr>
                <w:sz w:val="17"/>
              </w:rPr>
              <w:t>Grafana default</w:t>
            </w:r>
          </w:p>
        </w:tc>
      </w:tr>
      <w:tr>
        <w:tc>
          <w:tcPr>
            <w:tcW w:type="dxa" w:w="2664"/>
            <w:tcMar>
              <w:top w:w="100" w:type="dxa"/>
              <w:start w:w="150" w:type="dxa"/>
              <w:bottom w:w="100" w:type="dxa"/>
              <w:end w:w="150" w:type="dxa"/>
            </w:tcMar>
            <w:vAlign w:val="center"/>
          </w:tcPr>
          <w:p>
            <w:pPr>
              <w:spacing w:after="0" w:line="252" w:lineRule="auto"/>
              <w:jc w:val="center"/>
            </w:pPr>
            <w:r>
              <w:rPr>
                <w:sz w:val="17"/>
              </w:rPr>
              <w:t>5432</w:t>
            </w:r>
          </w:p>
        </w:tc>
        <w:tc>
          <w:tcPr>
            <w:tcW w:type="dxa" w:w="6984"/>
            <w:tcMar>
              <w:top w:w="100" w:type="dxa"/>
              <w:start w:w="150" w:type="dxa"/>
              <w:bottom w:w="100" w:type="dxa"/>
              <w:end w:w="150" w:type="dxa"/>
            </w:tcMar>
            <w:vAlign w:val="center"/>
          </w:tcPr>
          <w:p>
            <w:pPr>
              <w:spacing w:after="0" w:line="252" w:lineRule="auto"/>
              <w:jc w:val="left"/>
            </w:pPr>
            <w:r>
              <w:rPr>
                <w:sz w:val="17"/>
              </w:rPr>
              <w:t>PostgreSQL default</w:t>
            </w:r>
          </w:p>
        </w:tc>
      </w:tr>
      <w:tr>
        <w:tc>
          <w:tcPr>
            <w:tcW w:type="dxa" w:w="2664"/>
            <w:tcMar>
              <w:top w:w="100" w:type="dxa"/>
              <w:start w:w="150" w:type="dxa"/>
              <w:bottom w:w="100" w:type="dxa"/>
              <w:end w:w="150" w:type="dxa"/>
            </w:tcMar>
            <w:vAlign w:val="center"/>
            <w:shd w:fill="EAF2F8"/>
          </w:tcPr>
          <w:p>
            <w:pPr>
              <w:spacing w:after="0" w:line="252" w:lineRule="auto"/>
              <w:jc w:val="center"/>
            </w:pPr>
            <w:r>
              <w:rPr>
                <w:sz w:val="17"/>
              </w:rPr>
              <w:t>6443</w:t>
            </w:r>
          </w:p>
        </w:tc>
        <w:tc>
          <w:tcPr>
            <w:tcW w:type="dxa" w:w="6984"/>
            <w:tcMar>
              <w:top w:w="100" w:type="dxa"/>
              <w:start w:w="150" w:type="dxa"/>
              <w:bottom w:w="100" w:type="dxa"/>
              <w:end w:w="150" w:type="dxa"/>
            </w:tcMar>
            <w:vAlign w:val="center"/>
            <w:shd w:fill="EAF2F8"/>
          </w:tcPr>
          <w:p>
            <w:pPr>
              <w:spacing w:after="0" w:line="252" w:lineRule="auto"/>
              <w:jc w:val="left"/>
            </w:pPr>
            <w:r>
              <w:rPr>
                <w:sz w:val="17"/>
              </w:rPr>
              <w:t>Kubernetes API server</w:t>
            </w:r>
          </w:p>
        </w:tc>
      </w:tr>
      <w:tr>
        <w:tc>
          <w:tcPr>
            <w:tcW w:type="dxa" w:w="2664"/>
            <w:tcMar>
              <w:top w:w="100" w:type="dxa"/>
              <w:start w:w="150" w:type="dxa"/>
              <w:bottom w:w="100" w:type="dxa"/>
              <w:end w:w="150" w:type="dxa"/>
            </w:tcMar>
            <w:vAlign w:val="center"/>
          </w:tcPr>
          <w:p>
            <w:pPr>
              <w:spacing w:after="0" w:line="252" w:lineRule="auto"/>
              <w:jc w:val="center"/>
            </w:pPr>
            <w:r>
              <w:rPr>
                <w:sz w:val="17"/>
              </w:rPr>
              <w:t>8000</w:t>
            </w:r>
          </w:p>
        </w:tc>
        <w:tc>
          <w:tcPr>
            <w:tcW w:type="dxa" w:w="6984"/>
            <w:tcMar>
              <w:top w:w="100" w:type="dxa"/>
              <w:start w:w="150" w:type="dxa"/>
              <w:bottom w:w="100" w:type="dxa"/>
              <w:end w:w="150" w:type="dxa"/>
            </w:tcMar>
            <w:vAlign w:val="center"/>
          </w:tcPr>
          <w:p>
            <w:pPr>
              <w:spacing w:after="0" w:line="252" w:lineRule="auto"/>
              <w:jc w:val="left"/>
            </w:pPr>
            <w:r>
              <w:rPr>
                <w:sz w:val="17"/>
              </w:rPr>
              <w:t>ContextBridge Uvicorn container port</w:t>
            </w:r>
          </w:p>
        </w:tc>
      </w:tr>
      <w:tr>
        <w:tc>
          <w:tcPr>
            <w:tcW w:type="dxa" w:w="2664"/>
            <w:tcMar>
              <w:top w:w="100" w:type="dxa"/>
              <w:start w:w="150" w:type="dxa"/>
              <w:bottom w:w="100" w:type="dxa"/>
              <w:end w:w="150" w:type="dxa"/>
            </w:tcMar>
            <w:vAlign w:val="center"/>
            <w:shd w:fill="EAF2F8"/>
          </w:tcPr>
          <w:p>
            <w:pPr>
              <w:spacing w:after="0" w:line="252" w:lineRule="auto"/>
              <w:jc w:val="center"/>
            </w:pPr>
            <w:r>
              <w:rPr>
                <w:sz w:val="17"/>
              </w:rPr>
              <w:t>8002</w:t>
            </w:r>
          </w:p>
        </w:tc>
        <w:tc>
          <w:tcPr>
            <w:tcW w:type="dxa" w:w="6984"/>
            <w:tcMar>
              <w:top w:w="100" w:type="dxa"/>
              <w:start w:w="150" w:type="dxa"/>
              <w:bottom w:w="100" w:type="dxa"/>
              <w:end w:w="150" w:type="dxa"/>
            </w:tcMar>
            <w:vAlign w:val="center"/>
            <w:shd w:fill="EAF2F8"/>
          </w:tcPr>
          <w:p>
            <w:pPr>
              <w:spacing w:after="0" w:line="252" w:lineRule="auto"/>
              <w:jc w:val="left"/>
            </w:pPr>
            <w:r>
              <w:rPr>
                <w:sz w:val="17"/>
              </w:rPr>
              <w:t>Temporary local kubectl port forward example</w:t>
            </w:r>
          </w:p>
        </w:tc>
      </w:tr>
      <w:tr>
        <w:tc>
          <w:tcPr>
            <w:tcW w:type="dxa" w:w="2664"/>
            <w:tcMar>
              <w:top w:w="100" w:type="dxa"/>
              <w:start w:w="150" w:type="dxa"/>
              <w:bottom w:w="100" w:type="dxa"/>
              <w:end w:w="150" w:type="dxa"/>
            </w:tcMar>
            <w:vAlign w:val="center"/>
          </w:tcPr>
          <w:p>
            <w:pPr>
              <w:spacing w:after="0" w:line="252" w:lineRule="auto"/>
              <w:jc w:val="center"/>
            </w:pPr>
            <w:r>
              <w:rPr>
                <w:sz w:val="17"/>
              </w:rPr>
              <w:t>9000</w:t>
            </w:r>
          </w:p>
        </w:tc>
        <w:tc>
          <w:tcPr>
            <w:tcW w:type="dxa" w:w="6984"/>
            <w:tcMar>
              <w:top w:w="100" w:type="dxa"/>
              <w:start w:w="150" w:type="dxa"/>
              <w:bottom w:w="100" w:type="dxa"/>
              <w:end w:w="150" w:type="dxa"/>
            </w:tcMar>
            <w:vAlign w:val="center"/>
          </w:tcPr>
          <w:p>
            <w:pPr>
              <w:spacing w:after="0" w:line="252" w:lineRule="auto"/>
              <w:jc w:val="left"/>
            </w:pPr>
            <w:r>
              <w:rPr>
                <w:sz w:val="17"/>
              </w:rPr>
              <w:t>SonarQube default web port</w:t>
            </w:r>
          </w:p>
        </w:tc>
      </w:tr>
      <w:tr>
        <w:tc>
          <w:tcPr>
            <w:tcW w:type="dxa" w:w="2664"/>
            <w:tcMar>
              <w:top w:w="100" w:type="dxa"/>
              <w:start w:w="150" w:type="dxa"/>
              <w:bottom w:w="100" w:type="dxa"/>
              <w:end w:w="150" w:type="dxa"/>
            </w:tcMar>
            <w:vAlign w:val="center"/>
            <w:shd w:fill="EAF2F8"/>
          </w:tcPr>
          <w:p>
            <w:pPr>
              <w:spacing w:after="0" w:line="252" w:lineRule="auto"/>
              <w:jc w:val="center"/>
            </w:pPr>
            <w:r>
              <w:rPr>
                <w:sz w:val="17"/>
              </w:rPr>
              <w:t>9090</w:t>
            </w:r>
          </w:p>
        </w:tc>
        <w:tc>
          <w:tcPr>
            <w:tcW w:type="dxa" w:w="6984"/>
            <w:tcMar>
              <w:top w:w="100" w:type="dxa"/>
              <w:start w:w="150" w:type="dxa"/>
              <w:bottom w:w="100" w:type="dxa"/>
              <w:end w:w="150" w:type="dxa"/>
            </w:tcMar>
            <w:vAlign w:val="center"/>
            <w:shd w:fill="EAF2F8"/>
          </w:tcPr>
          <w:p>
            <w:pPr>
              <w:spacing w:after="0" w:line="252" w:lineRule="auto"/>
              <w:jc w:val="left"/>
            </w:pPr>
            <w:r>
              <w:rPr>
                <w:sz w:val="17"/>
              </w:rPr>
              <w:t>Prometheus default web port</w:t>
            </w:r>
          </w:p>
        </w:tc>
      </w:tr>
      <w:tr>
        <w:tc>
          <w:tcPr>
            <w:tcW w:type="dxa" w:w="2664"/>
            <w:tcMar>
              <w:top w:w="100" w:type="dxa"/>
              <w:start w:w="150" w:type="dxa"/>
              <w:bottom w:w="100" w:type="dxa"/>
              <w:end w:w="150" w:type="dxa"/>
            </w:tcMar>
            <w:vAlign w:val="center"/>
          </w:tcPr>
          <w:p>
            <w:pPr>
              <w:spacing w:after="0" w:line="252" w:lineRule="auto"/>
              <w:jc w:val="center"/>
            </w:pPr>
            <w:r>
              <w:rPr>
                <w:sz w:val="17"/>
              </w:rPr>
              <w:t>10250</w:t>
            </w:r>
          </w:p>
        </w:tc>
        <w:tc>
          <w:tcPr>
            <w:tcW w:type="dxa" w:w="6984"/>
            <w:tcMar>
              <w:top w:w="100" w:type="dxa"/>
              <w:start w:w="150" w:type="dxa"/>
              <w:bottom w:w="100" w:type="dxa"/>
              <w:end w:w="150" w:type="dxa"/>
            </w:tcMar>
            <w:vAlign w:val="center"/>
          </w:tcPr>
          <w:p>
            <w:pPr>
              <w:spacing w:after="0" w:line="252" w:lineRule="auto"/>
              <w:jc w:val="center"/>
            </w:pPr>
            <w:r>
              <w:rPr>
                <w:sz w:val="17"/>
              </w:rPr>
              <w:t>kubelet API</w:t>
            </w:r>
          </w:p>
        </w:tc>
      </w:tr>
      <w:tr>
        <w:tc>
          <w:tcPr>
            <w:tcW w:type="dxa" w:w="2664"/>
            <w:tcMar>
              <w:top w:w="100" w:type="dxa"/>
              <w:start w:w="150" w:type="dxa"/>
              <w:bottom w:w="100" w:type="dxa"/>
              <w:end w:w="150" w:type="dxa"/>
            </w:tcMar>
            <w:vAlign w:val="center"/>
            <w:shd w:fill="EAF2F8"/>
          </w:tcPr>
          <w:p>
            <w:pPr>
              <w:spacing w:after="0" w:line="252" w:lineRule="auto"/>
              <w:jc w:val="center"/>
            </w:pPr>
            <w:r>
              <w:rPr>
                <w:sz w:val="17"/>
              </w:rPr>
              <w:t>30000 to 32767</w:t>
            </w:r>
          </w:p>
        </w:tc>
        <w:tc>
          <w:tcPr>
            <w:tcW w:type="dxa" w:w="6984"/>
            <w:tcMar>
              <w:top w:w="100" w:type="dxa"/>
              <w:start w:w="150" w:type="dxa"/>
              <w:bottom w:w="100" w:type="dxa"/>
              <w:end w:w="150" w:type="dxa"/>
            </w:tcMar>
            <w:vAlign w:val="center"/>
            <w:shd w:fill="EAF2F8"/>
          </w:tcPr>
          <w:p>
            <w:pPr>
              <w:spacing w:after="0" w:line="252" w:lineRule="auto"/>
              <w:jc w:val="left"/>
            </w:pPr>
            <w:r>
              <w:rPr>
                <w:sz w:val="17"/>
              </w:rPr>
              <w:t>Default NodePort range</w:t>
            </w:r>
          </w:p>
        </w:tc>
      </w:tr>
    </w:tbl>
    <w:p>
      <w:pPr>
        <w:spacing w:after="20"/>
      </w:pPr>
    </w:p>
    <w:p>
      <w:r>
        <w:t>Port 80 is not reserved for Services. It is simply the conventional HTTP port. Service port and container target port can be different.</w:t>
      </w:r>
    </w:p>
    <w:p>
      <w:r>
        <w:br w:type="page"/>
      </w:r>
    </w:p>
    <w:p>
      <w:pPr>
        <w:pStyle w:val="Heading1"/>
      </w:pPr>
      <w:r>
        <w:t>6 Probes failures and recovery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80"/>
        <w:gridCol w:w="6768"/>
      </w:tblGrid>
      <w:tr>
        <w:trPr>
          <w:tblHeader w:val="true"/>
        </w:trPr>
        <w:tc>
          <w:tcPr>
            <w:tcW w:type="dxa" w:w="2880"/>
            <w:shd w:fill="1F4E78"/>
            <w:tcMar>
              <w:top w:w="100" w:type="dxa"/>
              <w:start w:w="150" w:type="dxa"/>
              <w:bottom w:w="100" w:type="dxa"/>
              <w:end w:w="150" w:type="dxa"/>
            </w:tcMar>
            <w:vAlign w:val="center"/>
          </w:tcPr>
          <w:p>
            <w:pPr>
              <w:spacing w:after="0"/>
              <w:jc w:val="center"/>
            </w:pPr>
            <w:r>
              <w:rPr>
                <w:b/>
                <w:color w:val="FFFFFF"/>
                <w:sz w:val="18"/>
              </w:rPr>
              <w:t>Event</w:t>
            </w:r>
          </w:p>
        </w:tc>
        <w:tc>
          <w:tcPr>
            <w:tcW w:type="dxa" w:w="6768"/>
            <w:shd w:fill="1F4E78"/>
            <w:tcMar>
              <w:top w:w="100" w:type="dxa"/>
              <w:start w:w="150" w:type="dxa"/>
              <w:bottom w:w="100" w:type="dxa"/>
              <w:end w:w="150" w:type="dxa"/>
            </w:tcMar>
            <w:vAlign w:val="center"/>
          </w:tcPr>
          <w:p>
            <w:pPr>
              <w:spacing w:after="0"/>
              <w:jc w:val="center"/>
            </w:pPr>
            <w:r>
              <w:rPr>
                <w:b/>
                <w:color w:val="FFFFFF"/>
                <w:sz w:val="18"/>
              </w:rPr>
              <w:t>Result</w:t>
            </w:r>
          </w:p>
        </w:tc>
      </w:tr>
      <w:tr>
        <w:tc>
          <w:tcPr>
            <w:tcW w:type="dxa" w:w="2880"/>
            <w:tcMar>
              <w:top w:w="100" w:type="dxa"/>
              <w:start w:w="150" w:type="dxa"/>
              <w:bottom w:w="100" w:type="dxa"/>
              <w:end w:w="150" w:type="dxa"/>
            </w:tcMar>
            <w:vAlign w:val="center"/>
          </w:tcPr>
          <w:p>
            <w:pPr>
              <w:spacing w:after="0" w:line="252" w:lineRule="auto"/>
              <w:jc w:val="center"/>
            </w:pPr>
            <w:r>
              <w:rPr>
                <w:sz w:val="17"/>
              </w:rPr>
              <w:t>Readiness fails</w:t>
            </w:r>
          </w:p>
        </w:tc>
        <w:tc>
          <w:tcPr>
            <w:tcW w:type="dxa" w:w="6768"/>
            <w:tcMar>
              <w:top w:w="100" w:type="dxa"/>
              <w:start w:w="150" w:type="dxa"/>
              <w:bottom w:w="100" w:type="dxa"/>
              <w:end w:w="150" w:type="dxa"/>
            </w:tcMar>
            <w:vAlign w:val="center"/>
          </w:tcPr>
          <w:p>
            <w:pPr>
              <w:spacing w:after="0" w:line="252" w:lineRule="auto"/>
              <w:jc w:val="left"/>
            </w:pPr>
            <w:r>
              <w:rPr>
                <w:sz w:val="17"/>
              </w:rPr>
              <w:t>Pod can stay Running, endpoint becomes ready false, and Service traffic stops.</w:t>
            </w:r>
          </w:p>
        </w:tc>
      </w:tr>
      <w:tr>
        <w:tc>
          <w:tcPr>
            <w:tcW w:type="dxa" w:w="2880"/>
            <w:tcMar>
              <w:top w:w="100" w:type="dxa"/>
              <w:start w:w="150" w:type="dxa"/>
              <w:bottom w:w="100" w:type="dxa"/>
              <w:end w:w="150" w:type="dxa"/>
            </w:tcMar>
            <w:vAlign w:val="center"/>
            <w:shd w:fill="EAF2F8"/>
          </w:tcPr>
          <w:p>
            <w:pPr>
              <w:spacing w:after="0" w:line="252" w:lineRule="auto"/>
              <w:jc w:val="center"/>
            </w:pPr>
            <w:r>
              <w:rPr>
                <w:sz w:val="17"/>
              </w:rPr>
              <w:t>Liveness fails</w:t>
            </w:r>
          </w:p>
        </w:tc>
        <w:tc>
          <w:tcPr>
            <w:tcW w:type="dxa" w:w="6768"/>
            <w:tcMar>
              <w:top w:w="100" w:type="dxa"/>
              <w:start w:w="150" w:type="dxa"/>
              <w:bottom w:w="100" w:type="dxa"/>
              <w:end w:w="150" w:type="dxa"/>
            </w:tcMar>
            <w:vAlign w:val="center"/>
            <w:shd w:fill="EAF2F8"/>
          </w:tcPr>
          <w:p>
            <w:pPr>
              <w:spacing w:after="0" w:line="252" w:lineRule="auto"/>
              <w:jc w:val="left"/>
            </w:pPr>
            <w:r>
              <w:rPr>
                <w:sz w:val="17"/>
              </w:rPr>
              <w:t>kubelet restarts the container and RESTARTS increases.</w:t>
            </w:r>
          </w:p>
        </w:tc>
      </w:tr>
      <w:tr>
        <w:tc>
          <w:tcPr>
            <w:tcW w:type="dxa" w:w="2880"/>
            <w:tcMar>
              <w:top w:w="100" w:type="dxa"/>
              <w:start w:w="150" w:type="dxa"/>
              <w:bottom w:w="100" w:type="dxa"/>
              <w:end w:w="150" w:type="dxa"/>
            </w:tcMar>
            <w:vAlign w:val="center"/>
          </w:tcPr>
          <w:p>
            <w:pPr>
              <w:spacing w:after="0" w:line="252" w:lineRule="auto"/>
              <w:jc w:val="center"/>
            </w:pPr>
            <w:r>
              <w:rPr>
                <w:sz w:val="17"/>
              </w:rPr>
              <w:t>Container crashes</w:t>
            </w:r>
          </w:p>
        </w:tc>
        <w:tc>
          <w:tcPr>
            <w:tcW w:type="dxa" w:w="6768"/>
            <w:tcMar>
              <w:top w:w="100" w:type="dxa"/>
              <w:start w:w="150" w:type="dxa"/>
              <w:bottom w:w="100" w:type="dxa"/>
              <w:end w:w="150" w:type="dxa"/>
            </w:tcMar>
            <w:vAlign w:val="center"/>
          </w:tcPr>
          <w:p>
            <w:pPr>
              <w:spacing w:after="0" w:line="252" w:lineRule="auto"/>
              <w:jc w:val="left"/>
            </w:pPr>
            <w:r>
              <w:rPr>
                <w:sz w:val="17"/>
              </w:rPr>
              <w:t>kubelet restarts it; repetition can become CrashLoopBackOff.</w:t>
            </w:r>
          </w:p>
        </w:tc>
      </w:tr>
      <w:tr>
        <w:tc>
          <w:tcPr>
            <w:tcW w:type="dxa" w:w="2880"/>
            <w:tcMar>
              <w:top w:w="100" w:type="dxa"/>
              <w:start w:w="150" w:type="dxa"/>
              <w:bottom w:w="100" w:type="dxa"/>
              <w:end w:w="150" w:type="dxa"/>
            </w:tcMar>
            <w:vAlign w:val="center"/>
            <w:shd w:fill="EAF2F8"/>
          </w:tcPr>
          <w:p>
            <w:pPr>
              <w:spacing w:after="0" w:line="252" w:lineRule="auto"/>
              <w:jc w:val="center"/>
            </w:pPr>
            <w:r>
              <w:rPr>
                <w:sz w:val="17"/>
              </w:rPr>
              <w:t>Pod is deleted</w:t>
            </w:r>
          </w:p>
        </w:tc>
        <w:tc>
          <w:tcPr>
            <w:tcW w:type="dxa" w:w="6768"/>
            <w:tcMar>
              <w:top w:w="100" w:type="dxa"/>
              <w:start w:w="150" w:type="dxa"/>
              <w:bottom w:w="100" w:type="dxa"/>
              <w:end w:w="150" w:type="dxa"/>
            </w:tcMar>
            <w:vAlign w:val="center"/>
            <w:shd w:fill="EAF2F8"/>
          </w:tcPr>
          <w:p>
            <w:pPr>
              <w:spacing w:after="0" w:line="252" w:lineRule="auto"/>
              <w:jc w:val="left"/>
            </w:pPr>
            <w:r>
              <w:rPr>
                <w:sz w:val="17"/>
              </w:rPr>
              <w:t>ReplicaSet creates a replacement with a new name and usually a new IP.</w:t>
            </w:r>
          </w:p>
        </w:tc>
      </w:tr>
      <w:tr>
        <w:tc>
          <w:tcPr>
            <w:tcW w:type="dxa" w:w="2880"/>
            <w:tcMar>
              <w:top w:w="100" w:type="dxa"/>
              <w:start w:w="150" w:type="dxa"/>
              <w:bottom w:w="100" w:type="dxa"/>
              <w:end w:w="150" w:type="dxa"/>
            </w:tcMar>
            <w:vAlign w:val="center"/>
          </w:tcPr>
          <w:p>
            <w:pPr>
              <w:spacing w:after="0" w:line="252" w:lineRule="auto"/>
              <w:jc w:val="center"/>
            </w:pPr>
            <w:r>
              <w:rPr>
                <w:sz w:val="17"/>
              </w:rPr>
              <w:t>Node fails</w:t>
            </w:r>
          </w:p>
        </w:tc>
        <w:tc>
          <w:tcPr>
            <w:tcW w:type="dxa" w:w="6768"/>
            <w:tcMar>
              <w:top w:w="100" w:type="dxa"/>
              <w:start w:w="150" w:type="dxa"/>
              <w:bottom w:w="100" w:type="dxa"/>
              <w:end w:w="150" w:type="dxa"/>
            </w:tcMar>
            <w:vAlign w:val="center"/>
          </w:tcPr>
          <w:p>
            <w:pPr>
              <w:spacing w:after="0" w:line="252" w:lineRule="auto"/>
              <w:jc w:val="left"/>
            </w:pPr>
            <w:r>
              <w:rPr>
                <w:sz w:val="17"/>
              </w:rPr>
              <w:t>Managed Pods can be recreated on another healthy Node when capacity exists.</w:t>
            </w:r>
          </w:p>
        </w:tc>
      </w:tr>
      <w:tr>
        <w:tc>
          <w:tcPr>
            <w:tcW w:type="dxa" w:w="2880"/>
            <w:tcMar>
              <w:top w:w="100" w:type="dxa"/>
              <w:start w:w="150" w:type="dxa"/>
              <w:bottom w:w="100" w:type="dxa"/>
              <w:end w:w="150" w:type="dxa"/>
            </w:tcMar>
            <w:vAlign w:val="center"/>
            <w:shd w:fill="EAF2F8"/>
          </w:tcPr>
          <w:p>
            <w:pPr>
              <w:spacing w:after="0" w:line="252" w:lineRule="auto"/>
              <w:jc w:val="center"/>
            </w:pPr>
            <w:r>
              <w:rPr>
                <w:sz w:val="17"/>
              </w:rPr>
              <w:t>Only Node fails</w:t>
            </w:r>
          </w:p>
        </w:tc>
        <w:tc>
          <w:tcPr>
            <w:tcW w:type="dxa" w:w="6768"/>
            <w:tcMar>
              <w:top w:w="100" w:type="dxa"/>
              <w:start w:w="150" w:type="dxa"/>
              <w:bottom w:w="100" w:type="dxa"/>
              <w:end w:w="150" w:type="dxa"/>
            </w:tcMar>
            <w:vAlign w:val="center"/>
            <w:shd w:fill="EAF2F8"/>
          </w:tcPr>
          <w:p>
            <w:pPr>
              <w:spacing w:after="0" w:line="252" w:lineRule="auto"/>
              <w:jc w:val="left"/>
            </w:pPr>
            <w:r>
              <w:rPr>
                <w:sz w:val="17"/>
              </w:rPr>
              <w:t>No placement is possible, so the application stays unavailable.</w:t>
            </w:r>
          </w:p>
        </w:tc>
      </w:tr>
    </w:tbl>
    <w:p>
      <w:pPr>
        <w:spacing w:after="20"/>
      </w:pPr>
    </w:p>
    <w:p>
      <w:pPr>
        <w:pStyle w:val="CodeBlock"/>
        <w:keepLines/>
        <w:shd w:fill="F5F6F7"/>
      </w:pPr>
      <w:r>
        <w:t>Desired state: 2 ready Pods</w:t>
        <w:br/>
        <w:t>Actual state:  1 ready Pod</w:t>
        <w:br/>
        <w:t>Kubernetes action: create a replacement Pod</w:t>
      </w:r>
    </w:p>
    <w:p>
      <w:r>
        <w:t>In the readiness experiment, no Pod died. The new Pod was Running but not Ready because an unknown path returned 404. Kubernetes kept the two older ready Pods and paused the rollout.</w:t>
      </w:r>
    </w:p>
    <w:p>
      <w:r>
        <w:br w:type="page"/>
      </w:r>
    </w:p>
    <w:p>
      <w:pPr>
        <w:pStyle w:val="Heading1"/>
      </w:pPr>
      <w:r>
        <w:t>7 Quality and observability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16"/>
        <w:gridCol w:w="3528"/>
        <w:gridCol w:w="4104"/>
      </w:tblGrid>
      <w:tr>
        <w:trPr>
          <w:tblHeader w:val="true"/>
        </w:trPr>
        <w:tc>
          <w:tcPr>
            <w:tcW w:type="dxa" w:w="2016"/>
            <w:shd w:fill="1F4E78"/>
            <w:tcMar>
              <w:top w:w="100" w:type="dxa"/>
              <w:start w:w="150" w:type="dxa"/>
              <w:bottom w:w="100" w:type="dxa"/>
              <w:end w:w="150" w:type="dxa"/>
            </w:tcMar>
            <w:vAlign w:val="center"/>
          </w:tcPr>
          <w:p>
            <w:pPr>
              <w:spacing w:after="0"/>
              <w:jc w:val="center"/>
            </w:pPr>
            <w:r>
              <w:rPr>
                <w:b/>
                <w:color w:val="FFFFFF"/>
                <w:sz w:val="18"/>
              </w:rPr>
              <w:t>Tool</w:t>
            </w:r>
          </w:p>
        </w:tc>
        <w:tc>
          <w:tcPr>
            <w:tcW w:type="dxa" w:w="3528"/>
            <w:shd w:fill="1F4E78"/>
            <w:tcMar>
              <w:top w:w="100" w:type="dxa"/>
              <w:start w:w="150" w:type="dxa"/>
              <w:bottom w:w="100" w:type="dxa"/>
              <w:end w:w="150" w:type="dxa"/>
            </w:tcMar>
            <w:vAlign w:val="center"/>
          </w:tcPr>
          <w:p>
            <w:pPr>
              <w:spacing w:after="0"/>
              <w:jc w:val="center"/>
            </w:pPr>
            <w:r>
              <w:rPr>
                <w:b/>
                <w:color w:val="FFFFFF"/>
                <w:sz w:val="18"/>
              </w:rPr>
              <w:t>Input</w:t>
            </w:r>
          </w:p>
        </w:tc>
        <w:tc>
          <w:tcPr>
            <w:tcW w:type="dxa" w:w="4104"/>
            <w:shd w:fill="1F4E78"/>
            <w:tcMar>
              <w:top w:w="100" w:type="dxa"/>
              <w:start w:w="150" w:type="dxa"/>
              <w:bottom w:w="100" w:type="dxa"/>
              <w:end w:w="150" w:type="dxa"/>
            </w:tcMar>
            <w:vAlign w:val="center"/>
          </w:tcPr>
          <w:p>
            <w:pPr>
              <w:spacing w:after="0"/>
              <w:jc w:val="center"/>
            </w:pPr>
            <w:r>
              <w:rPr>
                <w:b/>
                <w:color w:val="FFFFFF"/>
                <w:sz w:val="18"/>
              </w:rPr>
              <w:t>Output</w:t>
            </w:r>
          </w:p>
        </w:tc>
      </w:tr>
      <w:tr>
        <w:tc>
          <w:tcPr>
            <w:tcW w:type="dxa" w:w="2016"/>
            <w:tcMar>
              <w:top w:w="100" w:type="dxa"/>
              <w:start w:w="150" w:type="dxa"/>
              <w:bottom w:w="100" w:type="dxa"/>
              <w:end w:w="150" w:type="dxa"/>
            </w:tcMar>
            <w:vAlign w:val="center"/>
          </w:tcPr>
          <w:p>
            <w:pPr>
              <w:spacing w:after="0" w:line="252" w:lineRule="auto"/>
              <w:jc w:val="center"/>
            </w:pPr>
            <w:r>
              <w:rPr>
                <w:sz w:val="17"/>
              </w:rPr>
              <w:t>pytest</w:t>
            </w:r>
          </w:p>
        </w:tc>
        <w:tc>
          <w:tcPr>
            <w:tcW w:type="dxa" w:w="3528"/>
            <w:tcMar>
              <w:top w:w="100" w:type="dxa"/>
              <w:start w:w="150" w:type="dxa"/>
              <w:bottom w:w="100" w:type="dxa"/>
              <w:end w:w="150" w:type="dxa"/>
            </w:tcMar>
            <w:vAlign w:val="center"/>
          </w:tcPr>
          <w:p>
            <w:pPr>
              <w:spacing w:after="0" w:line="252" w:lineRule="auto"/>
              <w:jc w:val="center"/>
            </w:pPr>
            <w:r>
              <w:rPr>
                <w:sz w:val="17"/>
              </w:rPr>
              <w:t>Python test files</w:t>
            </w:r>
          </w:p>
        </w:tc>
        <w:tc>
          <w:tcPr>
            <w:tcW w:type="dxa" w:w="4104"/>
            <w:tcMar>
              <w:top w:w="100" w:type="dxa"/>
              <w:start w:w="150" w:type="dxa"/>
              <w:bottom w:w="100" w:type="dxa"/>
              <w:end w:w="150" w:type="dxa"/>
            </w:tcMar>
            <w:vAlign w:val="center"/>
          </w:tcPr>
          <w:p>
            <w:pPr>
              <w:spacing w:after="0" w:line="252" w:lineRule="auto"/>
              <w:jc w:val="left"/>
            </w:pPr>
            <w:r>
              <w:rPr>
                <w:sz w:val="17"/>
              </w:rPr>
              <w:t>Pass or fail result, traceback, coverage when configured</w:t>
            </w:r>
          </w:p>
        </w:tc>
      </w:tr>
      <w:tr>
        <w:tc>
          <w:tcPr>
            <w:tcW w:type="dxa" w:w="2016"/>
            <w:tcMar>
              <w:top w:w="100" w:type="dxa"/>
              <w:start w:w="150" w:type="dxa"/>
              <w:bottom w:w="100" w:type="dxa"/>
              <w:end w:w="150" w:type="dxa"/>
            </w:tcMar>
            <w:vAlign w:val="center"/>
            <w:shd w:fill="EAF2F8"/>
          </w:tcPr>
          <w:p>
            <w:pPr>
              <w:spacing w:after="0" w:line="252" w:lineRule="auto"/>
              <w:jc w:val="center"/>
            </w:pPr>
            <w:r>
              <w:rPr>
                <w:sz w:val="17"/>
              </w:rPr>
              <w:t>SonarQube</w:t>
            </w:r>
          </w:p>
        </w:tc>
        <w:tc>
          <w:tcPr>
            <w:tcW w:type="dxa" w:w="3528"/>
            <w:tcMar>
              <w:top w:w="100" w:type="dxa"/>
              <w:start w:w="150" w:type="dxa"/>
              <w:bottom w:w="100" w:type="dxa"/>
              <w:end w:w="150" w:type="dxa"/>
            </w:tcMar>
            <w:vAlign w:val="center"/>
            <w:shd w:fill="EAF2F8"/>
          </w:tcPr>
          <w:p>
            <w:pPr>
              <w:spacing w:after="0" w:line="252" w:lineRule="auto"/>
              <w:jc w:val="left"/>
            </w:pPr>
            <w:r>
              <w:rPr>
                <w:sz w:val="17"/>
              </w:rPr>
              <w:t>Source and analysis report</w:t>
            </w:r>
          </w:p>
        </w:tc>
        <w:tc>
          <w:tcPr>
            <w:tcW w:type="dxa" w:w="4104"/>
            <w:tcMar>
              <w:top w:w="100" w:type="dxa"/>
              <w:start w:w="150" w:type="dxa"/>
              <w:bottom w:w="100" w:type="dxa"/>
              <w:end w:w="150" w:type="dxa"/>
            </w:tcMar>
            <w:vAlign w:val="center"/>
            <w:shd w:fill="EAF2F8"/>
          </w:tcPr>
          <w:p>
            <w:pPr>
              <w:spacing w:after="0" w:line="252" w:lineRule="auto"/>
              <w:jc w:val="left"/>
            </w:pPr>
            <w:r>
              <w:rPr>
                <w:sz w:val="17"/>
              </w:rPr>
              <w:t>Issues, metrics, security findings, and quality gate</w:t>
            </w:r>
          </w:p>
        </w:tc>
      </w:tr>
      <w:tr>
        <w:tc>
          <w:tcPr>
            <w:tcW w:type="dxa" w:w="2016"/>
            <w:tcMar>
              <w:top w:w="100" w:type="dxa"/>
              <w:start w:w="150" w:type="dxa"/>
              <w:bottom w:w="100" w:type="dxa"/>
              <w:end w:w="150" w:type="dxa"/>
            </w:tcMar>
            <w:vAlign w:val="center"/>
          </w:tcPr>
          <w:p>
            <w:pPr>
              <w:spacing w:after="0" w:line="252" w:lineRule="auto"/>
              <w:jc w:val="center"/>
            </w:pPr>
            <w:r>
              <w:rPr>
                <w:sz w:val="17"/>
              </w:rPr>
              <w:t>Prometheus</w:t>
            </w:r>
          </w:p>
        </w:tc>
        <w:tc>
          <w:tcPr>
            <w:tcW w:type="dxa" w:w="3528"/>
            <w:tcMar>
              <w:top w:w="100" w:type="dxa"/>
              <w:start w:w="150" w:type="dxa"/>
              <w:bottom w:w="100" w:type="dxa"/>
              <w:end w:w="150" w:type="dxa"/>
            </w:tcMar>
            <w:vAlign w:val="center"/>
          </w:tcPr>
          <w:p>
            <w:pPr>
              <w:spacing w:after="0" w:line="252" w:lineRule="auto"/>
              <w:jc w:val="center"/>
            </w:pPr>
            <w:r>
              <w:rPr>
                <w:sz w:val="17"/>
              </w:rPr>
              <w:t>Metrics endpoints</w:t>
            </w:r>
          </w:p>
        </w:tc>
        <w:tc>
          <w:tcPr>
            <w:tcW w:type="dxa" w:w="4104"/>
            <w:tcMar>
              <w:top w:w="100" w:type="dxa"/>
              <w:start w:w="150" w:type="dxa"/>
              <w:bottom w:w="100" w:type="dxa"/>
              <w:end w:w="150" w:type="dxa"/>
            </w:tcMar>
            <w:vAlign w:val="center"/>
          </w:tcPr>
          <w:p>
            <w:pPr>
              <w:spacing w:after="0" w:line="252" w:lineRule="auto"/>
              <w:jc w:val="left"/>
            </w:pPr>
            <w:r>
              <w:rPr>
                <w:sz w:val="17"/>
              </w:rPr>
              <w:t>Time series data and alert rule evaluation</w:t>
            </w:r>
          </w:p>
        </w:tc>
      </w:tr>
      <w:tr>
        <w:tc>
          <w:tcPr>
            <w:tcW w:type="dxa" w:w="2016"/>
            <w:tcMar>
              <w:top w:w="100" w:type="dxa"/>
              <w:start w:w="150" w:type="dxa"/>
              <w:bottom w:w="100" w:type="dxa"/>
              <w:end w:w="150" w:type="dxa"/>
            </w:tcMar>
            <w:vAlign w:val="center"/>
            <w:shd w:fill="EAF2F8"/>
          </w:tcPr>
          <w:p>
            <w:pPr>
              <w:spacing w:after="0" w:line="252" w:lineRule="auto"/>
              <w:jc w:val="center"/>
            </w:pPr>
            <w:r>
              <w:rPr>
                <w:sz w:val="17"/>
              </w:rPr>
              <w:t>Grafana</w:t>
            </w:r>
          </w:p>
        </w:tc>
        <w:tc>
          <w:tcPr>
            <w:tcW w:type="dxa" w:w="3528"/>
            <w:tcMar>
              <w:top w:w="100" w:type="dxa"/>
              <w:start w:w="150" w:type="dxa"/>
              <w:bottom w:w="100" w:type="dxa"/>
              <w:end w:w="150" w:type="dxa"/>
            </w:tcMar>
            <w:vAlign w:val="center"/>
            <w:shd w:fill="EAF2F8"/>
          </w:tcPr>
          <w:p>
            <w:pPr>
              <w:spacing w:after="0" w:line="252" w:lineRule="auto"/>
              <w:jc w:val="left"/>
            </w:pPr>
            <w:r>
              <w:rPr>
                <w:sz w:val="17"/>
              </w:rPr>
              <w:t>Prometheus or another data source</w:t>
            </w:r>
          </w:p>
        </w:tc>
        <w:tc>
          <w:tcPr>
            <w:tcW w:type="dxa" w:w="4104"/>
            <w:tcMar>
              <w:top w:w="100" w:type="dxa"/>
              <w:start w:w="150" w:type="dxa"/>
              <w:bottom w:w="100" w:type="dxa"/>
              <w:end w:w="150" w:type="dxa"/>
            </w:tcMar>
            <w:vAlign w:val="center"/>
            <w:shd w:fill="EAF2F8"/>
          </w:tcPr>
          <w:p>
            <w:pPr>
              <w:spacing w:after="0" w:line="252" w:lineRule="auto"/>
              <w:jc w:val="left"/>
            </w:pPr>
            <w:r>
              <w:rPr>
                <w:sz w:val="17"/>
              </w:rPr>
              <w:t>Dashboards, exploration, and alert views</w:t>
            </w:r>
          </w:p>
        </w:tc>
      </w:tr>
      <w:tr>
        <w:tc>
          <w:tcPr>
            <w:tcW w:type="dxa" w:w="2016"/>
            <w:tcMar>
              <w:top w:w="100" w:type="dxa"/>
              <w:start w:w="150" w:type="dxa"/>
              <w:bottom w:w="100" w:type="dxa"/>
              <w:end w:w="150" w:type="dxa"/>
            </w:tcMar>
            <w:vAlign w:val="center"/>
          </w:tcPr>
          <w:p>
            <w:pPr>
              <w:spacing w:after="0" w:line="252" w:lineRule="auto"/>
              <w:jc w:val="center"/>
            </w:pPr>
            <w:r>
              <w:rPr>
                <w:sz w:val="17"/>
              </w:rPr>
              <w:t>kubectl logs</w:t>
            </w:r>
          </w:p>
        </w:tc>
        <w:tc>
          <w:tcPr>
            <w:tcW w:type="dxa" w:w="3528"/>
            <w:tcMar>
              <w:top w:w="100" w:type="dxa"/>
              <w:start w:w="150" w:type="dxa"/>
              <w:bottom w:w="100" w:type="dxa"/>
              <w:end w:w="150" w:type="dxa"/>
            </w:tcMar>
            <w:vAlign w:val="center"/>
          </w:tcPr>
          <w:p>
            <w:pPr>
              <w:spacing w:after="0" w:line="252" w:lineRule="auto"/>
              <w:jc w:val="left"/>
            </w:pPr>
            <w:r>
              <w:rPr>
                <w:sz w:val="17"/>
              </w:rPr>
              <w:t>Container stdout and stderr</w:t>
            </w:r>
          </w:p>
        </w:tc>
        <w:tc>
          <w:tcPr>
            <w:tcW w:type="dxa" w:w="4104"/>
            <w:tcMar>
              <w:top w:w="100" w:type="dxa"/>
              <w:start w:w="150" w:type="dxa"/>
              <w:bottom w:w="100" w:type="dxa"/>
              <w:end w:w="150" w:type="dxa"/>
            </w:tcMar>
            <w:vAlign w:val="center"/>
          </w:tcPr>
          <w:p>
            <w:pPr>
              <w:spacing w:after="0" w:line="252" w:lineRule="auto"/>
              <w:jc w:val="left"/>
            </w:pPr>
            <w:r>
              <w:rPr>
                <w:sz w:val="17"/>
              </w:rPr>
              <w:t>Application events for one current or previous container</w:t>
            </w:r>
          </w:p>
        </w:tc>
      </w:tr>
    </w:tbl>
    <w:p>
      <w:pPr>
        <w:spacing w:after="20"/>
      </w:pPr>
    </w:p>
    <w:p>
      <w:pPr>
        <w:pStyle w:val="CodeBlock"/>
        <w:keepLines/>
        <w:shd w:fill="F5F6F7"/>
      </w:pPr>
      <w:r>
        <w:t>Code quality flow</w:t>
        <w:br/>
        <w:t>pytest verifies behavior</w:t>
        <w:br/>
        <w:t>SonarQube analyzes maintainability and security</w:t>
        <w:br/>
        <w:t>Image scanner checks packages and image contents</w:t>
        <w:br/>
        <w:br/>
        <w:t>Runtime flow</w:t>
        <w:br/>
        <w:t>Application exposes metrics</w:t>
        <w:br/>
        <w:t>Prometheus stores measurements</w:t>
        <w:br/>
        <w:t>Grafana visualizes and alerts</w:t>
      </w:r>
    </w:p>
    <w:p>
      <w:r>
        <w:br w:type="page"/>
      </w:r>
    </w:p>
    <w:p>
      <w:pPr>
        <w:pStyle w:val="Heading1"/>
      </w:pPr>
      <w:r>
        <w:t>8 Essential commands</w:t>
      </w:r>
    </w:p>
    <w:p>
      <w:pPr>
        <w:pStyle w:val="Heading2"/>
      </w:pPr>
      <w:r>
        <w:t>Git and local checks</w:t>
      </w:r>
    </w:p>
    <w:p>
      <w:pPr>
        <w:pStyle w:val="CodeBlock"/>
        <w:keepLines/>
        <w:shd w:fill="F5F6F7"/>
      </w:pPr>
      <w:r>
        <w:t>git status --short --branch</w:t>
        <w:br/>
        <w:t>make setup</w:t>
        <w:br/>
        <w:t>make test-verbose</w:t>
        <w:br/>
        <w:t>make ci</w:t>
        <w:br/>
        <w:t>git add FILES</w:t>
        <w:br/>
        <w:t>git commit -m "describe the change"</w:t>
        <w:br/>
        <w:t>git push origin main</w:t>
      </w:r>
    </w:p>
    <w:p>
      <w:pPr>
        <w:pStyle w:val="Heading2"/>
      </w:pPr>
      <w:r>
        <w:t>Docker</w:t>
      </w:r>
    </w:p>
    <w:p>
      <w:pPr>
        <w:pStyle w:val="CodeBlock"/>
        <w:keepLines/>
        <w:shd w:fill="F5F6F7"/>
      </w:pPr>
      <w:r>
        <w:t>make build</w:t>
        <w:br/>
        <w:t>make up</w:t>
        <w:br/>
        <w:t>make ps</w:t>
        <w:br/>
        <w:t>make api-logs</w:t>
        <w:br/>
        <w:t>make down</w:t>
        <w:br/>
        <w:t>docker image ls</w:t>
        <w:br/>
        <w:t>docker volume ls</w:t>
      </w:r>
    </w:p>
    <w:p>
      <w:pPr>
        <w:pStyle w:val="Heading2"/>
      </w:pPr>
      <w:r>
        <w:t>Kubernetes</w:t>
      </w:r>
    </w:p>
    <w:p>
      <w:pPr>
        <w:pStyle w:val="CodeBlock"/>
        <w:keepLines/>
        <w:shd w:fill="F5F6F7"/>
      </w:pPr>
      <w:r>
        <w:t>kubectl config current-context</w:t>
        <w:br/>
        <w:t>kubectl get nodes --context kind-contextbridge -o wide</w:t>
        <w:br/>
        <w:t>kubectl get deployment,pods,service,endpointslice \</w:t>
        <w:br/>
        <w:t xml:space="preserve">  -n contextbridge --context kind-contextbridge -o wide</w:t>
        <w:br/>
        <w:t>kubectl describe pod POD -n contextbridge --context kind-contextbridge</w:t>
        <w:br/>
        <w:t>kubectl logs POD -n contextbridge --context kind-contextbridge</w:t>
        <w:br/>
        <w:t>kubectl rollout status deployment/contextbridge-api \</w:t>
        <w:br/>
        <w:t xml:space="preserve">  -n contextbridge --context kind-contextbridge</w:t>
      </w:r>
    </w:p>
    <w:p>
      <w:r>
        <w:br w:type="page"/>
      </w:r>
    </w:p>
    <w:p>
      <w:pPr>
        <w:pStyle w:val="Heading1"/>
      </w:pPr>
      <w:r>
        <w:t>9 Rapid interview answers</w:t>
      </w:r>
    </w:p>
    <w:p>
      <w:pPr>
        <w:keepNext/>
        <w:spacing w:after="20"/>
      </w:pPr>
      <w:r>
        <w:rPr>
          <w:b/>
        </w:rPr>
        <w:t>Image versus container</w:t>
      </w:r>
    </w:p>
    <w:p>
      <w:pPr>
        <w:keepLines/>
        <w:spacing w:after="100"/>
        <w:ind w:left="259"/>
      </w:pPr>
      <w:r>
        <w:t>An image is an immutable template. A container is a runtime instance.</w:t>
      </w:r>
    </w:p>
    <w:p>
      <w:pPr>
        <w:keepNext/>
        <w:spacing w:after="20"/>
      </w:pPr>
      <w:r>
        <w:rPr>
          <w:b/>
        </w:rPr>
        <w:t>Docker versus Kubernetes</w:t>
      </w:r>
    </w:p>
    <w:p>
      <w:pPr>
        <w:keepLines/>
        <w:spacing w:after="100"/>
        <w:ind w:left="259"/>
      </w:pPr>
      <w:r>
        <w:t>Docker builds and runs containers. Kubernetes schedules and manages containerized workloads across Nodes.</w:t>
      </w:r>
    </w:p>
    <w:p>
      <w:pPr>
        <w:keepNext/>
        <w:spacing w:after="20"/>
      </w:pPr>
      <w:r>
        <w:rPr>
          <w:b/>
        </w:rPr>
        <w:t>Make versus GitHub Actions</w:t>
      </w:r>
    </w:p>
    <w:p>
      <w:pPr>
        <w:keepLines/>
        <w:spacing w:after="100"/>
        <w:ind w:left="259"/>
      </w:pPr>
      <w:r>
        <w:t>Make defines project commands. GitHub Actions supplies the remote event driven runner.</w:t>
      </w:r>
    </w:p>
    <w:p>
      <w:pPr>
        <w:keepNext/>
        <w:spacing w:after="20"/>
      </w:pPr>
      <w:r>
        <w:rPr>
          <w:b/>
        </w:rPr>
        <w:t>Jenkins X versus Tekton</w:t>
      </w:r>
    </w:p>
    <w:p>
      <w:pPr>
        <w:keepLines/>
        <w:spacing w:after="100"/>
        <w:ind w:left="259"/>
      </w:pPr>
      <w:r>
        <w:t>Jenkins X organizes cloud native delivery workflows. Tekton executes pipeline Tasks as Kubernetes resources.</w:t>
      </w:r>
    </w:p>
    <w:p>
      <w:pPr>
        <w:keepNext/>
        <w:spacing w:after="20"/>
      </w:pPr>
      <w:r>
        <w:rPr>
          <w:b/>
        </w:rPr>
        <w:t>Tekton versus Kaniko</w:t>
      </w:r>
    </w:p>
    <w:p>
      <w:pPr>
        <w:keepLines/>
        <w:spacing w:after="100"/>
        <w:ind w:left="259"/>
      </w:pPr>
      <w:r>
        <w:t>Tekton runs the Task Pod. Kaniko performs the image build inside it.</w:t>
      </w:r>
    </w:p>
    <w:p>
      <w:pPr>
        <w:keepNext/>
        <w:spacing w:after="20"/>
      </w:pPr>
      <w:r>
        <w:rPr>
          <w:b/>
        </w:rPr>
        <w:t>Pod versus container</w:t>
      </w:r>
    </w:p>
    <w:p>
      <w:pPr>
        <w:keepLines/>
        <w:spacing w:after="100"/>
        <w:ind w:left="259"/>
      </w:pPr>
      <w:r>
        <w:t>A Pod is the Kubernetes scheduling wrapper. It contains one or more containers.</w:t>
      </w:r>
    </w:p>
    <w:p>
      <w:pPr>
        <w:keepNext/>
        <w:spacing w:after="20"/>
      </w:pPr>
      <w:r>
        <w:rPr>
          <w:b/>
        </w:rPr>
        <w:t>Deployment versus Service</w:t>
      </w:r>
    </w:p>
    <w:p>
      <w:pPr>
        <w:keepLines/>
        <w:spacing w:after="100"/>
        <w:ind w:left="259"/>
      </w:pPr>
      <w:r>
        <w:t>Deployment manages replicas. Service provides stable networking to ready replicas.</w:t>
      </w:r>
    </w:p>
    <w:p>
      <w:pPr>
        <w:keepNext/>
        <w:spacing w:after="20"/>
      </w:pPr>
      <w:r>
        <w:rPr>
          <w:b/>
        </w:rPr>
        <w:t>Service versus Ingress</w:t>
      </w:r>
    </w:p>
    <w:p>
      <w:pPr>
        <w:keepLines/>
        <w:spacing w:after="100"/>
        <w:ind w:left="259"/>
      </w:pPr>
      <w:r>
        <w:t>Service reaches Pods. Ingress routes external HTTP or HTTPS to Services.</w:t>
      </w:r>
    </w:p>
    <w:p>
      <w:pPr>
        <w:keepNext/>
        <w:spacing w:after="20"/>
      </w:pPr>
      <w:r>
        <w:rPr>
          <w:b/>
        </w:rPr>
        <w:t>Pod IP versus Service IP</w:t>
      </w:r>
    </w:p>
    <w:p>
      <w:pPr>
        <w:keepLines/>
        <w:spacing w:after="100"/>
        <w:ind w:left="259"/>
      </w:pPr>
      <w:r>
        <w:t>Pod IP is temporary. Service ClusterIP is stable while the Service exists.</w:t>
      </w:r>
    </w:p>
    <w:p>
      <w:pPr>
        <w:keepNext/>
        <w:spacing w:after="20"/>
      </w:pPr>
      <w:r>
        <w:rPr>
          <w:b/>
        </w:rPr>
        <w:t>Readiness versus liveness</w:t>
      </w:r>
    </w:p>
    <w:p>
      <w:pPr>
        <w:keepLines/>
        <w:spacing w:after="100"/>
        <w:ind w:left="259"/>
      </w:pPr>
      <w:r>
        <w:t>Readiness controls traffic. Liveness controls restart.</w:t>
      </w:r>
    </w:p>
    <w:p>
      <w:pPr>
        <w:keepNext/>
        <w:spacing w:after="20"/>
      </w:pPr>
      <w:r>
        <w:rPr>
          <w:b/>
        </w:rPr>
        <w:t>Request versus limit</w:t>
      </w:r>
    </w:p>
    <w:p>
      <w:pPr>
        <w:keepLines/>
        <w:spacing w:after="100"/>
        <w:ind w:left="259"/>
      </w:pPr>
      <w:r>
        <w:t>Request affects scheduling. Limit caps runtime use.</w:t>
      </w:r>
    </w:p>
    <w:p>
      <w:pPr>
        <w:keepNext/>
        <w:spacing w:after="20"/>
      </w:pPr>
      <w:r>
        <w:rPr>
          <w:b/>
        </w:rPr>
        <w:t>Prometheus versus Grafana</w:t>
      </w:r>
    </w:p>
    <w:p>
      <w:pPr>
        <w:keepLines/>
        <w:spacing w:after="100"/>
        <w:ind w:left="259"/>
      </w:pPr>
      <w:r>
        <w:t>Prometheus collects and stores metrics. Grafana queries and visualizes them.</w:t>
      </w:r>
    </w:p>
    <w:p>
      <w:pPr>
        <w:keepNext/>
        <w:spacing w:after="20"/>
      </w:pPr>
      <w:r>
        <w:rPr>
          <w:b/>
        </w:rPr>
        <w:t>pytest versus SonarQube</w:t>
      </w:r>
    </w:p>
    <w:p>
      <w:pPr>
        <w:keepLines/>
        <w:spacing w:after="100"/>
        <w:ind w:left="259"/>
      </w:pPr>
      <w:r>
        <w:t>pytest verifies executable behavior. SonarQube performs static quality and security analysis.</w:t>
      </w:r>
    </w:p>
    <w:p>
      <w:r>
        <w:br w:type="page"/>
      </w:r>
    </w:p>
    <w:p>
      <w:pPr>
        <w:pStyle w:val="Heading1"/>
      </w:pPr>
      <w:r>
        <w:t>10 Five minute checklist</w:t>
      </w:r>
    </w:p>
    <w:p>
      <w:pPr>
        <w:pStyle w:val="ListBullet"/>
        <w:spacing w:after="40"/>
      </w:pPr>
      <w:r>
        <w:t>Source code is pushed to Git; container images are stored in a registry.</w:t>
      </w:r>
    </w:p>
    <w:p>
      <w:pPr>
        <w:pStyle w:val="ListBullet"/>
        <w:spacing w:after="40"/>
      </w:pPr>
      <w:r>
        <w:t>A CI runner is temporary and starts clean, so only committed files exist there.</w:t>
      </w:r>
    </w:p>
    <w:p>
      <w:pPr>
        <w:pStyle w:val="ListBullet"/>
        <w:spacing w:after="40"/>
      </w:pPr>
      <w:r>
        <w:t>Jenkins X organizes, Tekton executes Tasks, Kaniko builds, and ECR stores images.</w:t>
      </w:r>
    </w:p>
    <w:p>
      <w:pPr>
        <w:pStyle w:val="ListBullet"/>
        <w:spacing w:after="40"/>
      </w:pPr>
      <w:r>
        <w:t>The API server is the cluster front door; etcd stores state; the scheduler selects Nodes.</w:t>
      </w:r>
    </w:p>
    <w:p>
      <w:pPr>
        <w:pStyle w:val="ListBullet"/>
        <w:spacing w:after="40"/>
      </w:pPr>
      <w:r>
        <w:t>Deployments manage ReplicaSets and Pods; Services provide stable discovery.</w:t>
      </w:r>
    </w:p>
    <w:p>
      <w:pPr>
        <w:pStyle w:val="ListBullet"/>
        <w:spacing w:after="40"/>
      </w:pPr>
      <w:r>
        <w:t>Ingress requires a controller and routes HTTP or HTTPS to a Service.</w:t>
      </w:r>
    </w:p>
    <w:p>
      <w:pPr>
        <w:pStyle w:val="ListBullet"/>
        <w:spacing w:after="40"/>
      </w:pPr>
      <w:r>
        <w:t>Readiness removes traffic eligibility; liveness restarts a container.</w:t>
      </w:r>
    </w:p>
    <w:p>
      <w:pPr>
        <w:pStyle w:val="ListBullet"/>
        <w:spacing w:after="40"/>
      </w:pPr>
      <w:r>
        <w:t>Pod replacement changes the Pod identity and usually the IP; the Service remains stable.</w:t>
      </w:r>
    </w:p>
    <w:p>
      <w:pPr>
        <w:pStyle w:val="ListBullet"/>
        <w:spacing w:after="40"/>
      </w:pPr>
      <w:r>
        <w:t>Requests affect scheduling; limits constrain runtime resources.</w:t>
      </w:r>
    </w:p>
    <w:p>
      <w:pPr>
        <w:pStyle w:val="ListBullet"/>
        <w:spacing w:after="40"/>
      </w:pPr>
      <w:r>
        <w:t>Persistent volumes survive Pod replacement but do not replace backups.</w:t>
      </w:r>
    </w:p>
    <w:p>
      <w:pPr>
        <w:pStyle w:val="ListBullet"/>
        <w:spacing w:after="40"/>
      </w:pPr>
      <w:r>
        <w:t>Prometheus collects metrics; Grafana displays them.</w:t>
      </w:r>
    </w:p>
    <w:p>
      <w:pPr>
        <w:pStyle w:val="ListBullet"/>
        <w:spacing w:after="40"/>
      </w:pPr>
      <w:r>
        <w:t>Start troubleshooting with get, describe, logs, events, labels, endpoints, and Node state.</w:t>
      </w:r>
    </w:p>
    <w:p>
      <w:r>
        <w:rPr>
          <w:b/>
        </w:rPr>
        <w:t xml:space="preserve">One sentence project summary  </w:t>
      </w:r>
      <w:r>
        <w:t>ContextBridge packages a FastAPI and PostgreSQL application with Docker, validates it through Make, pytest, and GitHub Actions, and runs two API replicas in a local kind Kubernetes cluster behind a stable ClusterIP Service with readiness and liveness probes.</w:t>
      </w:r>
    </w:p>
    <w:sectPr w:rsidR="00FC693F" w:rsidRPr="0006063C" w:rsidSect="00034616">
      <w:footerReference w:type="default" r:id="rId9"/>
      <w:pgSz w:w="12240" w:h="15840"/>
      <w:pgMar w:top="1037" w:right="1123" w:bottom="1267"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ContextBridge DevOps Revision Guide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ptos" w:hAnsi="Apto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5" w:lineRule="auto"/>
      <w:ind w:left="317" w:right="173"/>
    </w:pPr>
    <w:rPr>
      <w:rFonts w:ascii="DejaVu Sans Mono" w:hAnsi="DejaVu Sans Mono"/>
      <w:color w:val="22222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