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0"/>
          <w:szCs w:val="30"/>
        </w:rPr>
        <w:t xml:space="preserve">Executive Memo — Collections Recovery Performance</w:t>
      </w:r>
    </w:p>
    <w:p>
      <w:pPr>
        <w:spacing w:after="200"/>
      </w:pPr>
      <w:r>
        <w:rPr>
          <w:color w:val="555555"/>
          <w:sz w:val="18"/>
          <w:szCs w:val="18"/>
        </w:rPr>
        <w:t xml:space="preserve">Data Analyst Assignment · Prepared for Leadership · 2026-08-31</w:t>
      </w:r>
    </w:p>
    <w:p>
      <w:pPr>
        <w:pStyle w:val="Heading2"/>
        <w:spacing w:after="100" w:before="200"/>
      </w:pPr>
      <w:r>
        <w:t xml:space="preserve">What happened?</w:t>
      </w:r>
    </w:p>
    <w:p>
      <w:pPr>
        <w:spacing w:after="100"/>
      </w:pPr>
      <w:r>
        <w:t xml:space="preserve">Recovery performance over the last 7.3 months of usable data (Jan 1 – Aug 8, 2026; the source data does not actually span 12 months as assumed) has been flat, not improving. The reported "11% month-on-month improvement" is real arithmetic for exactly one transition — Feb→Mar (+11.03%) — but every other month moves by a similar magnitude in the opposite direction. A linear trend test across all 7 full months returns r² = 0.004, p = 0.89: statistically indistinguishable from noise.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2200"/>
      </w:tblGrid>
      <w:tr>
        <w:tc>
          <w:tcPr>
            <w:tcW w:type="dxa" w:w="1600"/>
            <w:shd w:fill="1F293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2200"/>
            <w:shd w:fill="1F293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Recovered (₹ Cr)</w:t>
            </w:r>
          </w:p>
        </w:tc>
        <w:tc>
          <w:tcPr>
            <w:tcW w:type="dxa" w:w="2200"/>
            <w:shd w:fill="1F293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MoM %</w:t>
            </w:r>
          </w:p>
        </w:tc>
        <w:tc>
          <w:tcPr>
            <w:tcW w:type="dxa" w:w="2200"/>
            <w:shd w:fill="1F293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Recovery rate</w:t>
            </w:r>
          </w:p>
        </w:tc>
      </w:tr>
      <w:tr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Jan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18.72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5.22%</w:t>
            </w:r>
          </w:p>
        </w:tc>
      </w:tr>
      <w:tr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Feb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17.01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-9.13%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5.12%</w:t>
            </w:r>
          </w:p>
        </w:tc>
      </w:tr>
      <w:tr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Mar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18.89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+11.03%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5.23%</w:t>
            </w:r>
          </w:p>
        </w:tc>
      </w:tr>
      <w:tr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Apr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17.51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-7.29%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4.97%</w:t>
            </w:r>
          </w:p>
        </w:tc>
      </w:tr>
      <w:tr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May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18.43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+5.20%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5.10%</w:t>
            </w:r>
          </w:p>
        </w:tc>
      </w:tr>
      <w:tr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Jun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17.56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-4.72%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5.03%</w:t>
            </w:r>
          </w:p>
        </w:tc>
      </w:tr>
      <w:tr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Jul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18.72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+6.65%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5.20%</w:t>
            </w:r>
          </w:p>
        </w:tc>
      </w:tr>
    </w:tbl>
    <w:p>
      <w:pPr>
        <w:spacing w:after="100"/>
      </w:pPr>
      <w:r>
        <w:t xml:space="preserve">Recovery rate — collected amount ÷ outstanding balance of accounts actually contacted that month — tells the identical story: a flat band of 4.97%–5.23%. This measure is deliberately normalized for both data-quality cleaning and month-to-month workload size, and it still shows no trend.</w:t>
      </w:r>
    </w:p>
    <w:p>
      <w:pPr>
        <w:pStyle w:val="Heading2"/>
        <w:spacing w:after="100" w:before="200"/>
      </w:pPr>
      <w:r>
        <w:t xml:space="preserve">Why did it happen?</w:t>
      </w:r>
    </w:p>
    <w:p>
      <w:pPr>
        <w:spacing w:after="100"/>
      </w:pPr>
      <w:r>
        <w:t xml:space="preserve">The Feb→Mar spike appears to be a genuine but ordinary month-to-month fluctuation that someone reported without the surrounding context. We tested and ruled out the usual hidden explanations for a misleading trend: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Portfolio mix (risk segment, loan type): stable within a 23–27% band every month — not a driver.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Denominator manipulation: accounts contacted per month is stable (9,532–10,417) — no shrinking population inflating a rate.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Targeting-strategy shift: no detectable change point in campaign mix, channel mix, or targeting priority across the window.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Channel effectiveness: PTP-kept rate differs by only 1.8 points across Call/SMS/Field/WhatsApp (25.7% vs 23.9%), and this difference is not statistically significant (χ²=5.73, p=0.126).</w:t>
      </w:r>
    </w:p>
    <w:p>
      <w:pPr>
        <w:spacing w:after="100"/>
      </w:pPr>
      <w:r>
        <w:t xml:space="preserve">Conclusion: there is no real, sustained operational driver to explain — because there was no sustained improvement. The one fact-grade explanation for the reported number itself is measurement methodology: a single favorable month was compared without benchmarking against the series' normal volatility.</w:t>
      </w:r>
    </w:p>
    <w:p>
      <w:pPr>
        <w:pStyle w:val="Heading2"/>
        <w:spacing w:after="100" w:before="200"/>
      </w:pPr>
      <w:r>
        <w:t xml:space="preserve">How confident are we?</w:t>
      </w:r>
    </w:p>
    <w:p>
      <w:pPr>
        <w:spacing w:after="100"/>
      </w:pPr>
      <w:r>
        <w:t xml:space="preserve">High confidence that the 11% figure does not represent a trend (p=0.89 on the trend test; the result is consistent across three independent metric definitions — raw amount, de-duplicated amount, and workload-normalized rate — and reproduced identically in both a pandas and an independent SQL implementation). Lower confidence on "why" in a causal sense, because the dataset provides no cost data and only a static, not time-varying, view of most operational levers — this is stated as a limitation, not glossed over.</w:t>
      </w:r>
    </w:p>
    <w:p>
      <w:pPr>
        <w:pStyle w:val="Heading2"/>
        <w:spacing w:after="100" w:before="200"/>
      </w:pPr>
      <w:r>
        <w:t xml:space="preserve">What should we do?</w:t>
      </w:r>
    </w:p>
    <w:p>
      <w:pPr>
        <w:spacing w:after="100"/>
      </w:pPr>
      <w:r>
        <w:t xml:space="preserve">1. Correct the reporting methodology immediately: any MoM headline number should be shown alongside its trailing 6-month range, so a single volatile month cannot be presented as a trend. This is a near-zero-cost fix with immediate credibility benefit.</w:t>
      </w:r>
    </w:p>
    <w:p>
      <w:pPr>
        <w:spacing w:after="100"/>
      </w:pPr>
      <w:r>
        <w:t xml:space="preserve">2. On the ₹10 Cr allocation: the data does not support a statistically confident pick among channels on conversion grounds alone — all four channels tested (Call/SMS/Field/WhatsApp) show materially indistinguishable PTP-kept rates. Given that, and given the dataset's complete absence of cost data, we recommend a conditional, evidence-first path rather than a single irreversible bet: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Provisional lean: AI voice automation — because overall call answer rate is only 19.9%, the larger lever is raising contact volume/quality at near-zero marginal cost per additional attempt, not choosing among channels that already convert similarly once contact is made.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Before committing the full ₹10 Cr: run a properly randomized pilot (e.g., ₹1–1.5 Cr, 90 days) allocating comparable account segments to AI voice automation vs. the current mix, measuring recovery-per-₹-spent with real cost tracking — which does not exist in the current data and must be instrumented first.</w:t>
      </w:r>
    </w:p>
    <w:p>
      <w:pPr>
        <w:spacing w:after="100"/>
      </w:pPr>
      <w:r>
        <w:t xml:space="preserve">Expected incremental recovery, cost, ROI and break-even cannot be estimated with useful precision from this dataset because no cost field exists anywhere in the 17 source tables — any number here would be an unstated assumption dressed as a forecast. A rough illustrative range: if AI automation lifts effective contact volume by 15–25% at a blended cost materially below one field-agent hour per contact, incremental annual recovery could plausibly fall in the ₹1.5–3.5 Cr range against a ₹10 Cr spend — wide enough that we recommend validating with the pilot above before scaling, rather than committing the full amount now.</w:t>
      </w:r>
    </w:p>
    <w:p>
      <w:pPr>
        <w:pStyle w:val="Heading2"/>
        <w:spacing w:after="100" w:before="200"/>
      </w:pPr>
      <w:r>
        <w:t xml:space="preserve">Data quality caveats behind every number above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500 exact-duplicate payment rows (₹2.59 Cr) were removed before any calculation above.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agent identity dimension is unusable as supplied (every agent_id and employee_code maps to conflicting names/vendors) — no agent-level claims are made in this memo as a result.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50.3% of account-status-history rows have an impossible recorded_at/event_at ordering — event_at was used throughout.</w:t>
      </w:r>
    </w:p>
    <w:p>
      <w:pPr>
        <w:spacing w:after="0" w:before="100"/>
      </w:pPr>
      <w:r>
        <w:t xml:space="preserve">Full methodology, SQL, golden dataset, and reproducible notebook accompany this memo.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2026-08-31T01:48:11.002Z</dcterms:created>
  <dcterms:modified xsi:type="dcterms:W3CDTF">2026-08-31T01:48:11.003Z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