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36"/>
        </w:rPr>
        <w:t>Week 2 Project Report: Advanced Data Visualization and Storytelling</w:t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1"/>
        </w:rPr>
        <w:t>Theme: Executive Visual Narratives &amp; Behavioral Analytics | Deliverable: Complete Technical Report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1. Executive Summary &amp; Strategic Narrative</w:t>
      </w:r>
    </w:p>
    <w:p>
      <w:r>
        <w:t>Data visualization bridges complex algorithmic pipelines and high-stakes executive decision-making. The primary objective of Week 2 is to construct a five-part coherent visual narrative that translates multivariate customer analytics into actionable business intelligence for non-technical stakeholders. By examining the customer lifecycle from macro-economic revenue trends to granular CSAT retention dynamics, this report establishes data-driven benchmarks for executive leadership.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2. Data Storytelling Methodology &amp; Visual Framework</w:t>
      </w:r>
    </w:p>
    <w:p>
      <w:r>
        <w:t>To maximize cognitive ergonomics and scannability, visualizations were constructed under rigorous visual design principles: direct data-ink maximization, intentional dual-axis scaling, logarithmic range normalization, and contextual callout annotations.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Visual Story Dimension</w:t>
            </w:r>
          </w:p>
        </w:tc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Visualization Architecture</w:t>
            </w:r>
          </w:p>
        </w:tc>
        <w:tc>
          <w:tcPr>
            <w:tcW w:type="dxa" w:w="312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Core Narrative Question Addressed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1. Macro Trajectory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Dual-Axis Line &amp; Bar Combo Chart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How is enterprise revenue scaling alongside customer churn trends over time?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2. Value Hierarchy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Log-Scaled Tiered Boxplot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Which customer segments drive the vast majority of cumulative enterprise value?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3. Channel Efficacy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2D Attribution Bubble Chart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Which acquisition channels yield high retention versus low-quality vanity volume?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4. Churn Risk Matrix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Annotated Two-Way Risk Heatmap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What is the compounding attrition risk when low CSAT meets specific customer tiers?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5. Regional Footprint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Donut Composition Chart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How is revenue diversified across key global operating territories?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3. Visual Narratives &amp; Executive Insights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3.1 Story 1: Enterprise Macro Trajectory (Revenue vs Attrition)</w:t>
      </w:r>
    </w:p>
    <w:p>
      <w:r>
        <w:t>Narrative Overview: Figure 1 plots annual financial progression, contrasting gross revenue with monthly attrition rates. A decisive turning point occurs in Q3, where operational retention improvements stabilize churn below 3.0%, accelerating Q4 holiday revenue to $460K.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1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3.2 Story 2: Customer Value Hierarchy &amp; Tier Segmentation</w:t>
      </w:r>
    </w:p>
    <w:p>
      <w:r>
        <w:t>Narrative Overview: Figure 2 highlights the extreme asymmetry in Customer Lifetime Value (CLV). While 'Budget Hunters' represent 38% of total user volume, 'Corporate' and 'High-Tier VIP' cohorts account for 68% of enterprise revenue, demonstrating the necessity of white-glove retention.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10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3.3 Story 3: Acquisition Channel Quality &amp; Funnel Efficacy</w:t>
      </w:r>
    </w:p>
    <w:p>
      <w:r>
        <w:t>Narrative Overview: Figure 3 maps marketing channels across average CLV and retention rate. Email Referral and Organic/Direct channels generate the highest retention (&gt;75%) and superior CLV, whereas Paid Search incurs higher churn.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10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3.4 Story 4: Customer Satisfaction (CSAT) vs Churn Risk Matrix</w:t>
      </w:r>
    </w:p>
    <w:p>
      <w:r>
        <w:t>Narrative Overview: Figure 4 presents an executive risk heatmap. Customers reporting a CSAT score of 1–2 display catastrophic churn rates (&gt;55%), identifying customer support resolution speed as a primary lever for revenue protection.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10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3.5 Story 5: Global Strategic Footprint (Regional Distribution)</w:t>
      </w:r>
    </w:p>
    <w:p>
      <w:r>
        <w:t>Narrative Overview: Figure 5 breaks down cumulative enterprise valuation across international markets. North America and Europe constitute 70% of market share, while Asia-Pacific emerges as the fastest-growing frontier.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4. Strategic Business Implications &amp; Executive Action Plan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Prioritize High-Yield Referral Funnels: </w:t>
      </w:r>
      <w:r>
        <w:rPr>
          <w:rFonts w:ascii="Calibri" w:hAnsi="Calibri"/>
          <w:sz w:val="19"/>
        </w:rPr>
        <w:t>Reallocate 25% of paid search acquisition budget into affiliate and referral reward loops to drive high-retention cohorts.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Automate Low-CSAT Triage: </w:t>
      </w:r>
      <w:r>
        <w:rPr>
          <w:rFonts w:ascii="Calibri" w:hAnsi="Calibri"/>
          <w:sz w:val="19"/>
        </w:rPr>
        <w:t>Deploy real-time alerting whenever an account registers a CSAT rating &lt;= 2, routing immediately to dedicated retention specialists.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VIP Customer Success Programs: </w:t>
      </w:r>
      <w:r>
        <w:rPr>
          <w:rFonts w:ascii="Calibri" w:hAnsi="Calibri"/>
          <w:sz w:val="19"/>
        </w:rPr>
        <w:t>Protect the top 20% of accounts (Corporate/VIP) that generate over two-thirds of revenue through dedicated account managers.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Targeted APAC Regional Expansion: </w:t>
      </w:r>
      <w:r>
        <w:rPr>
          <w:rFonts w:ascii="Calibri" w:hAnsi="Calibri"/>
          <w:sz w:val="19"/>
        </w:rPr>
        <w:t>Localize checkout and onboarding workflows in Asia-Pacific to capture market momentum.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5. Conclusion &amp; Visual Storytelling Synthesis</w:t>
      </w:r>
    </w:p>
    <w:p>
      <w:r>
        <w:t>Advanced data visualization translates multi-dimensional data into intuitive, compelling business narratives. Week 2 establishes how targeted visual design can directly guide budget allocation, customer satisfaction initiatives, and international expansion.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