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36"/>
        </w:rPr>
        <w:t>Week 1 Project Report: Data Acquisition, Cleaning, and Exploratory Analysis</w:t>
      </w:r>
    </w:p>
    <w:p>
      <w:pPr>
        <w:spacing w:after="240"/>
        <w:jc w:val="center"/>
      </w:pPr>
      <w:r>
        <w:rPr>
          <w:rFonts w:ascii="Calibri" w:hAnsi="Calibri"/>
          <w:i/>
          <w:color w:val="64748B"/>
          <w:sz w:val="21"/>
        </w:rPr>
        <w:t>Domain: Customer Analytics &amp; Retention | Deliverable: Technical Report &amp; Analysis</w:t>
      </w:r>
    </w:p>
    <w:p>
      <w:pPr>
        <w:keepNext/>
        <w:spacing w:before="280" w:after="80"/>
      </w:pPr>
      <w:r>
        <w:rPr>
          <w:rFonts w:ascii="Calibri" w:hAnsi="Calibri"/>
          <w:b/>
          <w:color w:val="1A365D"/>
          <w:sz w:val="30"/>
        </w:rPr>
        <w:t>1. Executive Summary</w:t>
      </w:r>
    </w:p>
    <w:p>
      <w:r>
        <w:t>Data preparation and exploratory data analysis (EDA) represent foundational stages in modern data science pipelines. This report provides an end-to-end walkthrough of Week 1 objectives: acquiring a customer behavioral dataset, diagnosing structural imperfections, implementing rigorous data cleaning workflows with Python and Pandas, and conducting statistical and visual analyses. Through diagnostic testing and targeted visualizations, critical drivers of customer churn and retention are quantified to prepare for downstream modeling.</w:t>
      </w:r>
    </w:p>
    <w:p>
      <w:pPr>
        <w:keepNext/>
        <w:spacing w:before="280" w:after="80"/>
      </w:pPr>
      <w:r>
        <w:rPr>
          <w:rFonts w:ascii="Calibri" w:hAnsi="Calibri"/>
          <w:b/>
          <w:color w:val="1A365D"/>
          <w:sz w:val="30"/>
        </w:rPr>
        <w:t>2. Data Acquisition &amp; Data Schema</w:t>
      </w:r>
    </w:p>
    <w:p>
      <w:r>
        <w:t>An e-commerce customer analytics dataset containing transactional records, demographic metrics, and retention indicators was acquired. The dataset contains 1,225 records across 8 distinct features prior to cleaning.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80" w:type="dxa"/>
              <w:bottom w:w="80" w:type="dxa"/>
              <w:left w:w="100" w:type="dxa"/>
              <w:right w:w="100" w:type="dxa"/>
            </w:tcMar>
          </w:tcPr>
          <w:p>
            <w:r>
              <w:rPr>
                <w:rFonts w:ascii="Calibri" w:hAnsi="Calibri"/>
                <w:b/>
                <w:color w:val="FFFFFF"/>
                <w:sz w:val="19"/>
              </w:rPr>
              <w:t>Attribute</w:t>
            </w:r>
          </w:p>
        </w:tc>
        <w:tc>
          <w:tcPr>
            <w:tcW w:type="dxa" w:w="2340"/>
            <w:shd w:fill="1A365D"/>
            <w:tcMar>
              <w:top w:w="80" w:type="dxa"/>
              <w:bottom w:w="80" w:type="dxa"/>
              <w:left w:w="100" w:type="dxa"/>
              <w:right w:w="100" w:type="dxa"/>
            </w:tcMar>
          </w:tcPr>
          <w:p>
            <w:r>
              <w:rPr>
                <w:rFonts w:ascii="Calibri" w:hAnsi="Calibri"/>
                <w:b/>
                <w:color w:val="FFFFFF"/>
                <w:sz w:val="19"/>
              </w:rPr>
              <w:t>Data Type</w:t>
            </w:r>
          </w:p>
        </w:tc>
        <w:tc>
          <w:tcPr>
            <w:tcW w:type="dxa" w:w="2340"/>
            <w:shd w:fill="1A365D"/>
            <w:tcMar>
              <w:top w:w="80" w:type="dxa"/>
              <w:bottom w:w="80" w:type="dxa"/>
              <w:left w:w="100" w:type="dxa"/>
              <w:right w:w="100" w:type="dxa"/>
            </w:tcMar>
          </w:tcPr>
          <w:p>
            <w:r>
              <w:rPr>
                <w:rFonts w:ascii="Calibri" w:hAnsi="Calibri"/>
                <w:b/>
                <w:color w:val="FFFFFF"/>
                <w:sz w:val="19"/>
              </w:rPr>
              <w:t>Role</w:t>
            </w:r>
          </w:p>
        </w:tc>
        <w:tc>
          <w:tcPr>
            <w:tcW w:type="dxa" w:w="2340"/>
            <w:shd w:fill="1A365D"/>
            <w:tcMar>
              <w:top w:w="80" w:type="dxa"/>
              <w:bottom w:w="80" w:type="dxa"/>
              <w:left w:w="100" w:type="dxa"/>
              <w:right w:w="100" w:type="dxa"/>
            </w:tcMar>
          </w:tcPr>
          <w:p>
            <w:r>
              <w:rPr>
                <w:rFonts w:ascii="Calibri" w:hAnsi="Calibri"/>
                <w:b/>
                <w:color w:val="FFFFFF"/>
                <w:sz w:val="19"/>
              </w:rPr>
              <w:t>Description</w:t>
            </w:r>
          </w:p>
        </w:tc>
      </w:tr>
      <w:tr>
        <w:tc>
          <w:tcPr>
            <w:tcW w:type="dxa" w:w="2340"/>
            <w:shd w:fill="F8FAFC"/>
            <w:tcMar>
              <w:top w:w="50" w:type="dxa"/>
              <w:bottom w:w="50" w:type="dxa"/>
              <w:left w:w="80" w:type="dxa"/>
              <w:right w:w="80" w:type="dxa"/>
            </w:tcMar>
          </w:tcPr>
          <w:p>
            <w:r>
              <w:rPr>
                <w:rFonts w:ascii="Calibri" w:hAnsi="Calibri"/>
                <w:sz w:val="18"/>
              </w:rPr>
              <w:t>CustomerID</w:t>
            </w:r>
          </w:p>
        </w:tc>
        <w:tc>
          <w:tcPr>
            <w:tcW w:type="dxa" w:w="2340"/>
            <w:shd w:fill="F8FAFC"/>
            <w:tcMar>
              <w:top w:w="50" w:type="dxa"/>
              <w:bottom w:w="50" w:type="dxa"/>
              <w:left w:w="80" w:type="dxa"/>
              <w:right w:w="80" w:type="dxa"/>
            </w:tcMar>
          </w:tcPr>
          <w:p>
            <w:r>
              <w:rPr>
                <w:rFonts w:ascii="Calibri" w:hAnsi="Calibri"/>
                <w:sz w:val="18"/>
              </w:rPr>
              <w:t>String / Object</w:t>
            </w:r>
          </w:p>
        </w:tc>
        <w:tc>
          <w:tcPr>
            <w:tcW w:type="dxa" w:w="2340"/>
            <w:shd w:fill="F8FAFC"/>
            <w:tcMar>
              <w:top w:w="50" w:type="dxa"/>
              <w:bottom w:w="50" w:type="dxa"/>
              <w:left w:w="80" w:type="dxa"/>
              <w:right w:w="80" w:type="dxa"/>
            </w:tcMar>
          </w:tcPr>
          <w:p>
            <w:r>
              <w:rPr>
                <w:rFonts w:ascii="Calibri" w:hAnsi="Calibri"/>
                <w:sz w:val="18"/>
              </w:rPr>
              <w:t>Identifier</w:t>
            </w:r>
          </w:p>
        </w:tc>
        <w:tc>
          <w:tcPr>
            <w:tcW w:type="dxa" w:w="2340"/>
            <w:shd w:fill="F8FAFC"/>
            <w:tcMar>
              <w:top w:w="50" w:type="dxa"/>
              <w:bottom w:w="50" w:type="dxa"/>
              <w:left w:w="80" w:type="dxa"/>
              <w:right w:w="80" w:type="dxa"/>
            </w:tcMar>
          </w:tcPr>
          <w:p>
            <w:r>
              <w:rPr>
                <w:rFonts w:ascii="Calibri" w:hAnsi="Calibri"/>
                <w:sz w:val="18"/>
              </w:rPr>
              <w:t>Unique primary identifier for each customer</w:t>
            </w:r>
          </w:p>
        </w:tc>
      </w:tr>
      <w:tr>
        <w:tc>
          <w:tcPr>
            <w:tcW w:type="dxa" w:w="2340"/>
            <w:shd w:fill="FFFFFF"/>
            <w:tcMar>
              <w:top w:w="50" w:type="dxa"/>
              <w:bottom w:w="50" w:type="dxa"/>
              <w:left w:w="80" w:type="dxa"/>
              <w:right w:w="80" w:type="dxa"/>
            </w:tcMar>
          </w:tcPr>
          <w:p>
            <w:r>
              <w:rPr>
                <w:rFonts w:ascii="Calibri" w:hAnsi="Calibri"/>
                <w:sz w:val="18"/>
              </w:rPr>
              <w:t>Age</w:t>
            </w:r>
          </w:p>
        </w:tc>
        <w:tc>
          <w:tcPr>
            <w:tcW w:type="dxa" w:w="2340"/>
            <w:shd w:fill="FFFFFF"/>
            <w:tcMar>
              <w:top w:w="50" w:type="dxa"/>
              <w:bottom w:w="50" w:type="dxa"/>
              <w:left w:w="80" w:type="dxa"/>
              <w:right w:w="80" w:type="dxa"/>
            </w:tcMar>
          </w:tcPr>
          <w:p>
            <w:r>
              <w:rPr>
                <w:rFonts w:ascii="Calibri" w:hAnsi="Calibri"/>
                <w:sz w:val="18"/>
              </w:rPr>
              <w:t>Float64 (Numeric)</w:t>
            </w:r>
          </w:p>
        </w:tc>
        <w:tc>
          <w:tcPr>
            <w:tcW w:type="dxa" w:w="2340"/>
            <w:shd w:fill="FFFFFF"/>
            <w:tcMar>
              <w:top w:w="50" w:type="dxa"/>
              <w:bottom w:w="50" w:type="dxa"/>
              <w:left w:w="80" w:type="dxa"/>
              <w:right w:w="80" w:type="dxa"/>
            </w:tcMar>
          </w:tcPr>
          <w:p>
            <w:r>
              <w:rPr>
                <w:rFonts w:ascii="Calibri" w:hAnsi="Calibri"/>
                <w:sz w:val="18"/>
              </w:rPr>
              <w:t>Demographic</w:t>
            </w:r>
          </w:p>
        </w:tc>
        <w:tc>
          <w:tcPr>
            <w:tcW w:type="dxa" w:w="2340"/>
            <w:shd w:fill="FFFFFF"/>
            <w:tcMar>
              <w:top w:w="50" w:type="dxa"/>
              <w:bottom w:w="50" w:type="dxa"/>
              <w:left w:w="80" w:type="dxa"/>
              <w:right w:w="80" w:type="dxa"/>
            </w:tcMar>
          </w:tcPr>
          <w:p>
            <w:r>
              <w:rPr>
                <w:rFonts w:ascii="Calibri" w:hAnsi="Calibri"/>
                <w:sz w:val="18"/>
              </w:rPr>
              <w:t>Customer age in years (contains missing values)</w:t>
            </w:r>
          </w:p>
        </w:tc>
      </w:tr>
      <w:tr>
        <w:tc>
          <w:tcPr>
            <w:tcW w:type="dxa" w:w="2340"/>
            <w:shd w:fill="F8FAFC"/>
            <w:tcMar>
              <w:top w:w="50" w:type="dxa"/>
              <w:bottom w:w="50" w:type="dxa"/>
              <w:left w:w="80" w:type="dxa"/>
              <w:right w:w="80" w:type="dxa"/>
            </w:tcMar>
          </w:tcPr>
          <w:p>
            <w:r>
              <w:rPr>
                <w:rFonts w:ascii="Calibri" w:hAnsi="Calibri"/>
                <w:sz w:val="18"/>
              </w:rPr>
              <w:t>Gender</w:t>
            </w:r>
          </w:p>
        </w:tc>
        <w:tc>
          <w:tcPr>
            <w:tcW w:type="dxa" w:w="2340"/>
            <w:shd w:fill="F8FAFC"/>
            <w:tcMar>
              <w:top w:w="50" w:type="dxa"/>
              <w:bottom w:w="50" w:type="dxa"/>
              <w:left w:w="80" w:type="dxa"/>
              <w:right w:w="80" w:type="dxa"/>
            </w:tcMar>
          </w:tcPr>
          <w:p>
            <w:r>
              <w:rPr>
                <w:rFonts w:ascii="Calibri" w:hAnsi="Calibri"/>
                <w:sz w:val="18"/>
              </w:rPr>
              <w:t>Category / String</w:t>
            </w:r>
          </w:p>
        </w:tc>
        <w:tc>
          <w:tcPr>
            <w:tcW w:type="dxa" w:w="2340"/>
            <w:shd w:fill="F8FAFC"/>
            <w:tcMar>
              <w:top w:w="50" w:type="dxa"/>
              <w:bottom w:w="50" w:type="dxa"/>
              <w:left w:w="80" w:type="dxa"/>
              <w:right w:w="80" w:type="dxa"/>
            </w:tcMar>
          </w:tcPr>
          <w:p>
            <w:r>
              <w:rPr>
                <w:rFonts w:ascii="Calibri" w:hAnsi="Calibri"/>
                <w:sz w:val="18"/>
              </w:rPr>
              <w:t>Demographic</w:t>
            </w:r>
          </w:p>
        </w:tc>
        <w:tc>
          <w:tcPr>
            <w:tcW w:type="dxa" w:w="2340"/>
            <w:shd w:fill="F8FAFC"/>
            <w:tcMar>
              <w:top w:w="50" w:type="dxa"/>
              <w:bottom w:w="50" w:type="dxa"/>
              <w:left w:w="80" w:type="dxa"/>
              <w:right w:w="80" w:type="dxa"/>
            </w:tcMar>
          </w:tcPr>
          <w:p>
            <w:r>
              <w:rPr>
                <w:rFonts w:ascii="Calibri" w:hAnsi="Calibri"/>
                <w:sz w:val="18"/>
              </w:rPr>
              <w:t>Gender classification (Male/Female/Other/Missing)</w:t>
            </w:r>
          </w:p>
        </w:tc>
      </w:tr>
      <w:tr>
        <w:tc>
          <w:tcPr>
            <w:tcW w:type="dxa" w:w="2340"/>
            <w:shd w:fill="FFFFFF"/>
            <w:tcMar>
              <w:top w:w="50" w:type="dxa"/>
              <w:bottom w:w="50" w:type="dxa"/>
              <w:left w:w="80" w:type="dxa"/>
              <w:right w:w="80" w:type="dxa"/>
            </w:tcMar>
          </w:tcPr>
          <w:p>
            <w:r>
              <w:rPr>
                <w:rFonts w:ascii="Calibri" w:hAnsi="Calibri"/>
                <w:sz w:val="18"/>
              </w:rPr>
              <w:t>AnnualIncome</w:t>
            </w:r>
          </w:p>
        </w:tc>
        <w:tc>
          <w:tcPr>
            <w:tcW w:type="dxa" w:w="2340"/>
            <w:shd w:fill="FFFFFF"/>
            <w:tcMar>
              <w:top w:w="50" w:type="dxa"/>
              <w:bottom w:w="50" w:type="dxa"/>
              <w:left w:w="80" w:type="dxa"/>
              <w:right w:w="80" w:type="dxa"/>
            </w:tcMar>
          </w:tcPr>
          <w:p>
            <w:r>
              <w:rPr>
                <w:rFonts w:ascii="Calibri" w:hAnsi="Calibri"/>
                <w:sz w:val="18"/>
              </w:rPr>
              <w:t>Float64 (Continuous)</w:t>
            </w:r>
          </w:p>
        </w:tc>
        <w:tc>
          <w:tcPr>
            <w:tcW w:type="dxa" w:w="2340"/>
            <w:shd w:fill="FFFFFF"/>
            <w:tcMar>
              <w:top w:w="50" w:type="dxa"/>
              <w:bottom w:w="50" w:type="dxa"/>
              <w:left w:w="80" w:type="dxa"/>
              <w:right w:w="80" w:type="dxa"/>
            </w:tcMar>
          </w:tcPr>
          <w:p>
            <w:r>
              <w:rPr>
                <w:rFonts w:ascii="Calibri" w:hAnsi="Calibri"/>
                <w:sz w:val="18"/>
              </w:rPr>
              <w:t>Financial</w:t>
            </w:r>
          </w:p>
        </w:tc>
        <w:tc>
          <w:tcPr>
            <w:tcW w:type="dxa" w:w="2340"/>
            <w:shd w:fill="FFFFFF"/>
            <w:tcMar>
              <w:top w:w="50" w:type="dxa"/>
              <w:bottom w:w="50" w:type="dxa"/>
              <w:left w:w="80" w:type="dxa"/>
              <w:right w:w="80" w:type="dxa"/>
            </w:tcMar>
          </w:tcPr>
          <w:p>
            <w:r>
              <w:rPr>
                <w:rFonts w:ascii="Calibri" w:hAnsi="Calibri"/>
                <w:sz w:val="18"/>
              </w:rPr>
              <w:t>Estimated annual earnings in USD</w:t>
            </w:r>
          </w:p>
        </w:tc>
      </w:tr>
      <w:tr>
        <w:tc>
          <w:tcPr>
            <w:tcW w:type="dxa" w:w="2340"/>
            <w:shd w:fill="F8FAFC"/>
            <w:tcMar>
              <w:top w:w="50" w:type="dxa"/>
              <w:bottom w:w="50" w:type="dxa"/>
              <w:left w:w="80" w:type="dxa"/>
              <w:right w:w="80" w:type="dxa"/>
            </w:tcMar>
          </w:tcPr>
          <w:p>
            <w:r>
              <w:rPr>
                <w:rFonts w:ascii="Calibri" w:hAnsi="Calibri"/>
                <w:sz w:val="18"/>
              </w:rPr>
              <w:t>TenureMonths</w:t>
            </w:r>
          </w:p>
        </w:tc>
        <w:tc>
          <w:tcPr>
            <w:tcW w:type="dxa" w:w="2340"/>
            <w:shd w:fill="F8FAFC"/>
            <w:tcMar>
              <w:top w:w="50" w:type="dxa"/>
              <w:bottom w:w="50" w:type="dxa"/>
              <w:left w:w="80" w:type="dxa"/>
              <w:right w:w="80" w:type="dxa"/>
            </w:tcMar>
          </w:tcPr>
          <w:p>
            <w:r>
              <w:rPr>
                <w:rFonts w:ascii="Calibri" w:hAnsi="Calibri"/>
                <w:sz w:val="18"/>
              </w:rPr>
              <w:t>Int64 (Discrete)</w:t>
            </w:r>
          </w:p>
        </w:tc>
        <w:tc>
          <w:tcPr>
            <w:tcW w:type="dxa" w:w="2340"/>
            <w:shd w:fill="F8FAFC"/>
            <w:tcMar>
              <w:top w:w="50" w:type="dxa"/>
              <w:bottom w:w="50" w:type="dxa"/>
              <w:left w:w="80" w:type="dxa"/>
              <w:right w:w="80" w:type="dxa"/>
            </w:tcMar>
          </w:tcPr>
          <w:p>
            <w:r>
              <w:rPr>
                <w:rFonts w:ascii="Calibri" w:hAnsi="Calibri"/>
                <w:sz w:val="18"/>
              </w:rPr>
              <w:t>Behavioral</w:t>
            </w:r>
          </w:p>
        </w:tc>
        <w:tc>
          <w:tcPr>
            <w:tcW w:type="dxa" w:w="2340"/>
            <w:shd w:fill="F8FAFC"/>
            <w:tcMar>
              <w:top w:w="50" w:type="dxa"/>
              <w:bottom w:w="50" w:type="dxa"/>
              <w:left w:w="80" w:type="dxa"/>
              <w:right w:w="80" w:type="dxa"/>
            </w:tcMar>
          </w:tcPr>
          <w:p>
            <w:r>
              <w:rPr>
                <w:rFonts w:ascii="Calibri" w:hAnsi="Calibri"/>
                <w:sz w:val="18"/>
              </w:rPr>
              <w:t>Number of active subscription/membership months</w:t>
            </w:r>
          </w:p>
        </w:tc>
      </w:tr>
      <w:tr>
        <w:tc>
          <w:tcPr>
            <w:tcW w:type="dxa" w:w="2340"/>
            <w:shd w:fill="FFFFFF"/>
            <w:tcMar>
              <w:top w:w="50" w:type="dxa"/>
              <w:bottom w:w="50" w:type="dxa"/>
              <w:left w:w="80" w:type="dxa"/>
              <w:right w:w="80" w:type="dxa"/>
            </w:tcMar>
          </w:tcPr>
          <w:p>
            <w:r>
              <w:rPr>
                <w:rFonts w:ascii="Calibri" w:hAnsi="Calibri"/>
                <w:sz w:val="18"/>
              </w:rPr>
              <w:t>PurchaseFrequency</w:t>
            </w:r>
          </w:p>
        </w:tc>
        <w:tc>
          <w:tcPr>
            <w:tcW w:type="dxa" w:w="2340"/>
            <w:shd w:fill="FFFFFF"/>
            <w:tcMar>
              <w:top w:w="50" w:type="dxa"/>
              <w:bottom w:w="50" w:type="dxa"/>
              <w:left w:w="80" w:type="dxa"/>
              <w:right w:w="80" w:type="dxa"/>
            </w:tcMar>
          </w:tcPr>
          <w:p>
            <w:r>
              <w:rPr>
                <w:rFonts w:ascii="Calibri" w:hAnsi="Calibri"/>
                <w:sz w:val="18"/>
              </w:rPr>
              <w:t>Int64 (Discrete)</w:t>
            </w:r>
          </w:p>
        </w:tc>
        <w:tc>
          <w:tcPr>
            <w:tcW w:type="dxa" w:w="2340"/>
            <w:shd w:fill="FFFFFF"/>
            <w:tcMar>
              <w:top w:w="50" w:type="dxa"/>
              <w:bottom w:w="50" w:type="dxa"/>
              <w:left w:w="80" w:type="dxa"/>
              <w:right w:w="80" w:type="dxa"/>
            </w:tcMar>
          </w:tcPr>
          <w:p>
            <w:r>
              <w:rPr>
                <w:rFonts w:ascii="Calibri" w:hAnsi="Calibri"/>
                <w:sz w:val="18"/>
              </w:rPr>
              <w:t>Behavioral</w:t>
            </w:r>
          </w:p>
        </w:tc>
        <w:tc>
          <w:tcPr>
            <w:tcW w:type="dxa" w:w="2340"/>
            <w:shd w:fill="FFFFFF"/>
            <w:tcMar>
              <w:top w:w="50" w:type="dxa"/>
              <w:bottom w:w="50" w:type="dxa"/>
              <w:left w:w="80" w:type="dxa"/>
              <w:right w:w="80" w:type="dxa"/>
            </w:tcMar>
          </w:tcPr>
          <w:p>
            <w:r>
              <w:rPr>
                <w:rFonts w:ascii="Calibri" w:hAnsi="Calibri"/>
                <w:sz w:val="18"/>
              </w:rPr>
              <w:t>Average purchases made per month</w:t>
            </w:r>
          </w:p>
        </w:tc>
      </w:tr>
      <w:tr>
        <w:tc>
          <w:tcPr>
            <w:tcW w:type="dxa" w:w="2340"/>
            <w:shd w:fill="F8FAFC"/>
            <w:tcMar>
              <w:top w:w="50" w:type="dxa"/>
              <w:bottom w:w="50" w:type="dxa"/>
              <w:left w:w="80" w:type="dxa"/>
              <w:right w:w="80" w:type="dxa"/>
            </w:tcMar>
          </w:tcPr>
          <w:p>
            <w:r>
              <w:rPr>
                <w:rFonts w:ascii="Calibri" w:hAnsi="Calibri"/>
                <w:sz w:val="18"/>
              </w:rPr>
              <w:t>AvgOrderValue</w:t>
            </w:r>
          </w:p>
        </w:tc>
        <w:tc>
          <w:tcPr>
            <w:tcW w:type="dxa" w:w="2340"/>
            <w:shd w:fill="F8FAFC"/>
            <w:tcMar>
              <w:top w:w="50" w:type="dxa"/>
              <w:bottom w:w="50" w:type="dxa"/>
              <w:left w:w="80" w:type="dxa"/>
              <w:right w:w="80" w:type="dxa"/>
            </w:tcMar>
          </w:tcPr>
          <w:p>
            <w:r>
              <w:rPr>
                <w:rFonts w:ascii="Calibri" w:hAnsi="Calibri"/>
                <w:sz w:val="18"/>
              </w:rPr>
              <w:t>Float64 (Continuous)</w:t>
            </w:r>
          </w:p>
        </w:tc>
        <w:tc>
          <w:tcPr>
            <w:tcW w:type="dxa" w:w="2340"/>
            <w:shd w:fill="F8FAFC"/>
            <w:tcMar>
              <w:top w:w="50" w:type="dxa"/>
              <w:bottom w:w="50" w:type="dxa"/>
              <w:left w:w="80" w:type="dxa"/>
              <w:right w:w="80" w:type="dxa"/>
            </w:tcMar>
          </w:tcPr>
          <w:p>
            <w:r>
              <w:rPr>
                <w:rFonts w:ascii="Calibri" w:hAnsi="Calibri"/>
                <w:sz w:val="18"/>
              </w:rPr>
              <w:t>Financial</w:t>
            </w:r>
          </w:p>
        </w:tc>
        <w:tc>
          <w:tcPr>
            <w:tcW w:type="dxa" w:w="2340"/>
            <w:shd w:fill="F8FAFC"/>
            <w:tcMar>
              <w:top w:w="50" w:type="dxa"/>
              <w:bottom w:w="50" w:type="dxa"/>
              <w:left w:w="80" w:type="dxa"/>
              <w:right w:w="80" w:type="dxa"/>
            </w:tcMar>
          </w:tcPr>
          <w:p>
            <w:r>
              <w:rPr>
                <w:rFonts w:ascii="Calibri" w:hAnsi="Calibri"/>
                <w:sz w:val="18"/>
              </w:rPr>
              <w:t>Mean monetary value per order ($)</w:t>
            </w:r>
          </w:p>
        </w:tc>
      </w:tr>
      <w:tr>
        <w:tc>
          <w:tcPr>
            <w:tcW w:type="dxa" w:w="2340"/>
            <w:shd w:fill="FFFFFF"/>
            <w:tcMar>
              <w:top w:w="50" w:type="dxa"/>
              <w:bottom w:w="50" w:type="dxa"/>
              <w:left w:w="80" w:type="dxa"/>
              <w:right w:w="80" w:type="dxa"/>
            </w:tcMar>
          </w:tcPr>
          <w:p>
            <w:r>
              <w:rPr>
                <w:rFonts w:ascii="Calibri" w:hAnsi="Calibri"/>
                <w:sz w:val="18"/>
              </w:rPr>
              <w:t>Churn</w:t>
            </w:r>
          </w:p>
        </w:tc>
        <w:tc>
          <w:tcPr>
            <w:tcW w:type="dxa" w:w="2340"/>
            <w:shd w:fill="FFFFFF"/>
            <w:tcMar>
              <w:top w:w="50" w:type="dxa"/>
              <w:bottom w:w="50" w:type="dxa"/>
              <w:left w:w="80" w:type="dxa"/>
              <w:right w:w="80" w:type="dxa"/>
            </w:tcMar>
          </w:tcPr>
          <w:p>
            <w:r>
              <w:rPr>
                <w:rFonts w:ascii="Calibri" w:hAnsi="Calibri"/>
                <w:sz w:val="18"/>
              </w:rPr>
              <w:t>Int64 (Binary: 0/1)</w:t>
            </w:r>
          </w:p>
        </w:tc>
        <w:tc>
          <w:tcPr>
            <w:tcW w:type="dxa" w:w="2340"/>
            <w:shd w:fill="FFFFFF"/>
            <w:tcMar>
              <w:top w:w="50" w:type="dxa"/>
              <w:bottom w:w="50" w:type="dxa"/>
              <w:left w:w="80" w:type="dxa"/>
              <w:right w:w="80" w:type="dxa"/>
            </w:tcMar>
          </w:tcPr>
          <w:p>
            <w:r>
              <w:rPr>
                <w:rFonts w:ascii="Calibri" w:hAnsi="Calibri"/>
                <w:sz w:val="18"/>
              </w:rPr>
              <w:t>Target</w:t>
            </w:r>
          </w:p>
        </w:tc>
        <w:tc>
          <w:tcPr>
            <w:tcW w:type="dxa" w:w="2340"/>
            <w:shd w:fill="FFFFFF"/>
            <w:tcMar>
              <w:top w:w="50" w:type="dxa"/>
              <w:bottom w:w="50" w:type="dxa"/>
              <w:left w:w="80" w:type="dxa"/>
              <w:right w:w="80" w:type="dxa"/>
            </w:tcMar>
          </w:tcPr>
          <w:p>
            <w:r>
              <w:rPr>
                <w:rFonts w:ascii="Calibri" w:hAnsi="Calibri"/>
                <w:sz w:val="18"/>
              </w:rPr>
              <w:t>1 if customer churned/cancelled; 0 if retained</w:t>
            </w:r>
          </w:p>
        </w:tc>
      </w:tr>
    </w:tbl>
    <w:p>
      <w:pPr>
        <w:spacing w:after="80"/>
      </w:pPr>
    </w:p>
    <w:p>
      <w:pPr>
        <w:keepNext/>
        <w:spacing w:before="280" w:after="80"/>
      </w:pPr>
      <w:r>
        <w:rPr>
          <w:rFonts w:ascii="Calibri" w:hAnsi="Calibri"/>
          <w:b/>
          <w:color w:val="1A365D"/>
          <w:sz w:val="30"/>
        </w:rPr>
        <w:t>3. Data Cleaning &amp; Preprocessing Methodology</w:t>
      </w:r>
    </w:p>
    <w:p>
      <w:pPr>
        <w:spacing w:after="60"/>
        <w:ind w:left="288"/>
      </w:pPr>
      <w:r>
        <w:rPr>
          <w:rFonts w:ascii="Calibri" w:hAnsi="Calibri"/>
          <w:b/>
          <w:sz w:val="19"/>
        </w:rPr>
        <w:t xml:space="preserve">• 1. Duplicate Removal: </w:t>
      </w:r>
      <w:r>
        <w:rPr>
          <w:rFonts w:ascii="Calibri" w:hAnsi="Calibri"/>
          <w:sz w:val="19"/>
        </w:rPr>
        <w:t>Eliminated 25 duplicate rows based on CustomerID to prevent artificial variance inflation.</w:t>
      </w:r>
    </w:p>
    <w:p>
      <w:pPr>
        <w:spacing w:after="60"/>
        <w:ind w:left="288"/>
      </w:pPr>
      <w:r>
        <w:rPr>
          <w:rFonts w:ascii="Calibri" w:hAnsi="Calibri"/>
          <w:b/>
          <w:sz w:val="19"/>
        </w:rPr>
        <w:t xml:space="preserve">• 2. Missing Value Imputation: </w:t>
      </w:r>
      <w:r>
        <w:rPr>
          <w:rFonts w:ascii="Calibri" w:hAnsi="Calibri"/>
          <w:sz w:val="19"/>
        </w:rPr>
        <w:t>Age and AnnualIncome exhibited right-skewed distributions; therefore, median imputation was implemented over mean imputation to resist extreme value distortion. Categorical nulls were labeled as 'Unknown'.</w:t>
      </w:r>
    </w:p>
    <w:p>
      <w:pPr>
        <w:spacing w:after="60"/>
        <w:ind w:left="288"/>
      </w:pPr>
      <w:r>
        <w:rPr>
          <w:rFonts w:ascii="Calibri" w:hAnsi="Calibri"/>
          <w:b/>
          <w:sz w:val="19"/>
        </w:rPr>
        <w:t xml:space="preserve">• 3. Data Type Normalization: </w:t>
      </w:r>
      <w:r>
        <w:rPr>
          <w:rFonts w:ascii="Calibri" w:hAnsi="Calibri"/>
          <w:sz w:val="19"/>
        </w:rPr>
        <w:t>Ensured numeric columns were stored as explicit integer/float types and categories were properly encoded.</w:t>
      </w:r>
    </w:p>
    <w:p>
      <w:pPr>
        <w:spacing w:after="60"/>
        <w:ind w:left="288"/>
      </w:pPr>
      <w:r>
        <w:rPr>
          <w:rFonts w:ascii="Calibri" w:hAnsi="Calibri"/>
          <w:b/>
          <w:sz w:val="19"/>
        </w:rPr>
        <w:t xml:space="preserve">• 4. Outlier Handling: </w:t>
      </w:r>
      <w:r>
        <w:rPr>
          <w:rFonts w:ascii="Calibri" w:hAnsi="Calibri"/>
          <w:sz w:val="19"/>
        </w:rPr>
        <w:t>Evaluated extreme values in AvgOrderValue via IQR fencing (Q3 + 3.0*IQR) and added an outlier flag.</w:t>
      </w:r>
    </w:p>
    <w:p>
      <w:pPr>
        <w:keepNext/>
        <w:spacing w:before="200" w:after="60"/>
      </w:pPr>
      <w:r>
        <w:rPr>
          <w:rFonts w:ascii="Calibri" w:hAnsi="Calibri"/>
          <w:b/>
          <w:color w:val="2B6CB0"/>
          <w:sz w:val="24"/>
        </w:rPr>
        <w:t>3.1 Python Data Cleaning Script</w:t>
      </w:r>
    </w:p>
    <w:tbl>
      <w:tblPr>
        <w:tblW w:type="auto" w:w="0"/>
        <w:jc w:val="center"/>
        <w:tblLook w:firstColumn="1" w:firstRow="1" w:lastColumn="0" w:lastRow="0" w:noHBand="0" w:noVBand="1" w:val="04A0"/>
      </w:tblPr>
      <w:tblGrid>
        <w:gridCol w:w="9360"/>
      </w:tblGrid>
      <w:tr>
        <w:tc>
          <w:tcPr>
            <w:tcW w:type="dxa" w:w="9360"/>
            <w:shd w:fill="F4F6F8"/>
            <w:tcMar>
              <w:top w:w="100" w:type="dxa"/>
              <w:bottom w:w="100" w:type="dxa"/>
              <w:left w:w="150" w:type="dxa"/>
              <w:right w:w="150" w:type="dxa"/>
            </w:tcMar>
          </w:tcPr>
          <w:p>
            <w:pPr>
              <w:spacing w:before="40" w:after="40" w:line="276" w:lineRule="auto"/>
            </w:pPr>
            <w:r>
              <w:rPr>
                <w:rFonts w:ascii="Consolas" w:hAnsi="Consolas"/>
                <w:color w:val="212529"/>
                <w:sz w:val="18"/>
              </w:rPr>
              <w:t>import pandas as pd</w:t>
              <w:br/>
              <w:t>import numpy as np</w:t>
              <w:br/>
              <w:br/>
              <w:t># Load raw acquisition data</w:t>
              <w:br/>
              <w:t>df = pd.read_csv('data/raw_dataset.csv')</w:t>
              <w:br/>
              <w:br/>
              <w:t># Step 1: De-duplication</w:t>
              <w:br/>
              <w:t>df_clean = df.drop_duplicates(subset=['CustomerID']).copy()</w:t>
              <w:br/>
              <w:br/>
              <w:t># Step 2: Missing Value Strategy</w:t>
              <w:br/>
              <w:t>df_clean['Age'] = df_clean['Age'].fillna(df_clean['Age'].median()).astype(int)</w:t>
              <w:br/>
              <w:t>df_clean['AnnualIncome'] = df_clean['AnnualIncome'].fillna(df_clean['AnnualIncome'].median())</w:t>
              <w:br/>
              <w:t>df_clean['Gender'] = df_clean['Gender'].fillna('Unknown').astype('category')</w:t>
              <w:br/>
              <w:t>df_clean['Churn'] = df_clean['Churn'].astype(int)</w:t>
              <w:br/>
              <w:br/>
              <w:t># Step 3: Outlier Detection using IQR Method</w:t>
              <w:br/>
              <w:t>Q1 = df_clean['AvgOrderValue'].quantile(0.25)</w:t>
              <w:br/>
              <w:t>Q3 = df_clean['AvgOrderValue'].quantile(0.75)</w:t>
              <w:br/>
              <w:t>IQR = Q3 - Q1</w:t>
              <w:br/>
              <w:t>upper_limit = Q3 + 3.0 * IQR</w:t>
              <w:br/>
              <w:t>df_clean['Is_AOV_Outlier'] = (df_clean['AvgOrderValue'] &gt; upper_limit).astype(int)</w:t>
              <w:br/>
              <w:br/>
              <w:t>df_clean.to_csv('data/cleaned_dataset.csv', index=False)</w:t>
            </w:r>
          </w:p>
        </w:tc>
      </w:tr>
    </w:tbl>
    <w:p>
      <w:pPr>
        <w:spacing w:after="80"/>
      </w:pPr>
    </w:p>
    <w:p>
      <w:pPr>
        <w:keepNext/>
        <w:spacing w:before="280" w:after="80"/>
      </w:pPr>
      <w:r>
        <w:rPr>
          <w:rFonts w:ascii="Calibri" w:hAnsi="Calibri"/>
          <w:b/>
          <w:color w:val="1A365D"/>
          <w:sz w:val="30"/>
        </w:rPr>
        <w:t>4. Exploratory Data Analysis &amp; Visualizations</w:t>
      </w:r>
    </w:p>
    <w:p>
      <w:pPr>
        <w:keepNext/>
        <w:spacing w:before="200" w:after="60"/>
      </w:pPr>
      <w:r>
        <w:rPr>
          <w:rFonts w:ascii="Calibri" w:hAnsi="Calibri"/>
          <w:b/>
          <w:color w:val="2B6CB0"/>
          <w:sz w:val="24"/>
        </w:rPr>
        <w:t>4.1 Missing Value Diagnostic Analysis</w:t>
      </w:r>
    </w:p>
    <w:p>
      <w:r>
        <w:t>Distribution of missing records identified prior to cleaning across features:</w:t>
      </w:r>
    </w:p>
    <w:p>
      <w:pPr>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4937760" cy="2886690"/>
                    </a:xfrm>
                    <a:prstGeom prst="rect"/>
                  </pic:spPr>
                </pic:pic>
              </a:graphicData>
            </a:graphic>
          </wp:inline>
        </w:drawing>
      </w:r>
    </w:p>
    <w:p>
      <w:pPr>
        <w:keepNext/>
        <w:spacing w:before="200" w:after="60"/>
      </w:pPr>
      <w:r>
        <w:rPr>
          <w:rFonts w:ascii="Calibri" w:hAnsi="Calibri"/>
          <w:b/>
          <w:color w:val="2B6CB0"/>
          <w:sz w:val="24"/>
        </w:rPr>
        <w:t>4.2 Feature Correlation Matrix</w:t>
      </w:r>
    </w:p>
    <w:p>
      <w:r>
        <w:t>Pearson correlation matrix demonstrating relationships between behavioral features and churn:</w:t>
      </w:r>
    </w:p>
    <w:p>
      <w:pPr>
        <w:jc w:val="center"/>
      </w:pPr>
      <w:r>
        <w:drawing>
          <wp:inline xmlns:a="http://schemas.openxmlformats.org/drawingml/2006/main" xmlns:pic="http://schemas.openxmlformats.org/drawingml/2006/picture">
            <wp:extent cx="4572000" cy="337624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572000" cy="3376246"/>
                    </a:xfrm>
                    <a:prstGeom prst="rect"/>
                  </pic:spPr>
                </pic:pic>
              </a:graphicData>
            </a:graphic>
          </wp:inline>
        </w:drawing>
      </w:r>
    </w:p>
    <w:p>
      <w:pPr>
        <w:keepNext/>
        <w:spacing w:before="200" w:after="60"/>
      </w:pPr>
      <w:r>
        <w:rPr>
          <w:rFonts w:ascii="Calibri" w:hAnsi="Calibri"/>
          <w:b/>
          <w:color w:val="2B6CB0"/>
          <w:sz w:val="24"/>
        </w:rPr>
        <w:t>4.3 Churn Drivers &amp; Behavioral Segmentation</w:t>
      </w:r>
    </w:p>
    <w:p>
      <w:r>
        <w:t>Tenure and purchase frequency distributions compared across retained and churned cohorts:</w:t>
      </w:r>
    </w:p>
    <w:p>
      <w:pPr>
        <w:jc w:val="center"/>
      </w:pPr>
      <w:r>
        <w:drawing>
          <wp:inline xmlns:a="http://schemas.openxmlformats.org/drawingml/2006/main" xmlns:pic="http://schemas.openxmlformats.org/drawingml/2006/picture">
            <wp:extent cx="5120640" cy="2263862"/>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120640" cy="2263862"/>
                    </a:xfrm>
                    <a:prstGeom prst="rect"/>
                  </pic:spPr>
                </pic:pic>
              </a:graphicData>
            </a:graphic>
          </wp:inline>
        </w:drawing>
      </w:r>
    </w:p>
    <w:p>
      <w:pPr>
        <w:keepNext/>
        <w:spacing w:before="200" w:after="60"/>
      </w:pPr>
      <w:r>
        <w:rPr>
          <w:rFonts w:ascii="Calibri" w:hAnsi="Calibri"/>
          <w:b/>
          <w:color w:val="2B6CB0"/>
          <w:sz w:val="24"/>
        </w:rPr>
        <w:t>4.4 Outlier &amp; Distribution Diagnostics</w:t>
      </w:r>
    </w:p>
    <w:p>
      <w:r>
        <w:t>Evaluation of extreme purchase transaction amounts in Average Order Value (AOV):</w:t>
      </w:r>
    </w:p>
    <w:p>
      <w:pPr>
        <w:jc w:val="center"/>
      </w:pPr>
      <w:r>
        <w:drawing>
          <wp:inline xmlns:a="http://schemas.openxmlformats.org/drawingml/2006/main" xmlns:pic="http://schemas.openxmlformats.org/drawingml/2006/picture">
            <wp:extent cx="4937760" cy="216027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4937760" cy="2160270"/>
                    </a:xfrm>
                    <a:prstGeom prst="rect"/>
                  </pic:spPr>
                </pic:pic>
              </a:graphicData>
            </a:graphic>
          </wp:inline>
        </w:drawing>
      </w:r>
    </w:p>
    <w:p>
      <w:pPr>
        <w:keepNext/>
        <w:spacing w:before="280" w:after="80"/>
      </w:pPr>
      <w:r>
        <w:rPr>
          <w:rFonts w:ascii="Calibri" w:hAnsi="Calibri"/>
          <w:b/>
          <w:color w:val="1A365D"/>
          <w:sz w:val="30"/>
        </w:rPr>
        <w:t>5. Key Insights &amp; Actionable Recommendations</w:t>
      </w:r>
    </w:p>
    <w:p>
      <w:pPr>
        <w:spacing w:after="60"/>
        <w:ind w:left="288"/>
      </w:pPr>
      <w:r>
        <w:rPr>
          <w:rFonts w:ascii="Calibri" w:hAnsi="Calibri"/>
          <w:b/>
          <w:sz w:val="19"/>
        </w:rPr>
        <w:t xml:space="preserve">• Early-Stage Onboarding: </w:t>
      </w:r>
      <w:r>
        <w:rPr>
          <w:rFonts w:ascii="Calibri" w:hAnsi="Calibri"/>
          <w:sz w:val="19"/>
        </w:rPr>
        <w:t>The highest churn risk occurs within the initial 12–18 months of customer lifecycle. Focused onboarding campaigns should be deployed in months 3–9.</w:t>
      </w:r>
    </w:p>
    <w:p>
      <w:pPr>
        <w:spacing w:after="60"/>
        <w:ind w:left="288"/>
      </w:pPr>
      <w:r>
        <w:rPr>
          <w:rFonts w:ascii="Calibri" w:hAnsi="Calibri"/>
          <w:b/>
          <w:sz w:val="19"/>
        </w:rPr>
        <w:t xml:space="preserve">• Purchase Frequency Threshold: </w:t>
      </w:r>
      <w:r>
        <w:rPr>
          <w:rFonts w:ascii="Calibri" w:hAnsi="Calibri"/>
          <w:sz w:val="19"/>
        </w:rPr>
        <w:t>A drop below 4 purchases per month serves as a leading indicator of attrition.</w:t>
      </w:r>
    </w:p>
    <w:p>
      <w:pPr>
        <w:spacing w:after="60"/>
        <w:ind w:left="288"/>
      </w:pPr>
      <w:r>
        <w:rPr>
          <w:rFonts w:ascii="Calibri" w:hAnsi="Calibri"/>
          <w:b/>
          <w:sz w:val="19"/>
        </w:rPr>
        <w:t xml:space="preserve">• VIP Outlier Handling: </w:t>
      </w:r>
      <w:r>
        <w:rPr>
          <w:rFonts w:ascii="Calibri" w:hAnsi="Calibri"/>
          <w:sz w:val="19"/>
        </w:rPr>
        <w:t>Customers with order values exceeding $800 represent high-value enterprise accounts requiring specialized retention strategies.</w:t>
      </w:r>
    </w:p>
    <w:p>
      <w:pPr>
        <w:keepNext/>
        <w:spacing w:before="280" w:after="80"/>
      </w:pPr>
      <w:r>
        <w:rPr>
          <w:rFonts w:ascii="Calibri" w:hAnsi="Calibri"/>
          <w:b/>
          <w:color w:val="1A365D"/>
          <w:sz w:val="30"/>
        </w:rPr>
        <w:t>6. Conclusion &amp; Week 2 Roadmap</w:t>
      </w:r>
    </w:p>
    <w:p>
      <w:r>
        <w:t>Week 1 successfully established an automated data hygiene pipeline and uncovered key behavioral drivers of customer retention. In Week 2, feature engineering and predictive churn classification models will be developed.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