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65D"/>
          <w:sz w:val="36"/>
        </w:rPr>
        <w:t>Week 3 Project Report: Feature Engineering, Scaling &amp; Dimensionality Reduction</w:t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1"/>
        </w:rPr>
        <w:t>Domain: Customer Behavioral Analytics | Deliverable: End-to-End Feature Engineering Pipeline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1. Executive Summary</w:t>
      </w:r>
    </w:p>
    <w:p>
      <w:r>
        <w:t>Feature engineering is the primary driver of predictive performance in applied machine learning. Week 3 focuses on transforming raw transactional signals into high-impact domain representations, applying robust feature scaling, evaluating non-linear mutual information gain, and executing dimensionality reduction via Principal Component Analysis (PCA).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2. Domain Feature Construction</w:t>
      </w:r>
    </w:p>
    <w:p>
      <w:r>
        <w:t>Four domain-specific synthetic features were engineered to capture customer financial risk and engagement: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Constructed Feature</w:t>
            </w:r>
          </w:p>
        </w:tc>
        <w:tc>
          <w:tcPr>
            <w:tcW w:type="dxa" w:w="312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Mathematical Formulation</w:t>
            </w:r>
          </w:p>
        </w:tc>
        <w:tc>
          <w:tcPr>
            <w:tcW w:type="dxa" w:w="312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Domain Rationale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AnnualSpend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PurchaseFrequency * 12 * AvgOrderValue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Monetary proxy for annual account valuation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IncomeSpendRatio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AnnualSpend / AnnualIncome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Customer financial wallet-share and affordability risk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EngagementScore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PurchaseFrequency / (SupportTickets + 1)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Net friction-adjusted customer engagement index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TenureSpendVelocity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AnnualSpend / TenureMonths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Pace of account monetization per month of lifecycle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2.1 Python Feature Engineering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8"/>
              </w:rPr>
              <w:t>import pandas as pd</w:t>
              <w:br/>
              <w:t>import numpy as np</w:t>
              <w:br/>
              <w:t>from sklearn.preprocessing import StandardScaler</w:t>
              <w:br/>
              <w:t>from sklearn.decomposition import PCA</w:t>
              <w:br/>
              <w:br/>
              <w:t>df = pd.read_csv('data/cleaned_dataset.csv')</w:t>
              <w:br/>
              <w:br/>
              <w:t># 1. Feature Synthesis</w:t>
              <w:br/>
              <w:t>df['AnnualSpend'] = df['PurchaseFrequency'] * 12 * df['AvgOrderValue']</w:t>
              <w:br/>
              <w:t>df['IncomeSpendRatio'] = df['AnnualSpend'] / np.clip(df['AnnualIncome'], 10000, None)</w:t>
              <w:br/>
              <w:t>df['EngagementScore'] = df['PurchaseFrequency'] / (df['SupportTickets'] + 1)</w:t>
              <w:br/>
              <w:t>df['TenureSpendVelocity'] = df['AnnualSpend'] / np.clip(df['TenureMonths'], 1, None)</w:t>
              <w:br/>
              <w:br/>
              <w:t># 2. Log Transformation</w:t>
              <w:br/>
              <w:t>df['Log_AnnualSpend'] = np.log1p(df['AnnualSpend'])</w:t>
              <w:br/>
              <w:br/>
              <w:t># 3. Standardization &amp; PCA</w:t>
              <w:br/>
              <w:t>scaler = StandardScaler()</w:t>
              <w:br/>
              <w:t>X_scaled = scaler.fit_transform(df.select_dtypes(include=[np.number]))</w:t>
              <w:br/>
              <w:t>pca = PCA(n_components=2)</w:t>
              <w:br/>
              <w:t>X_pca = pca.fit_transform(X_scaled)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3. Visual Diagnostics &amp; Feature Importance</w:t>
      </w: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3.1 Feature Transformation &amp; Normalization</w:t>
      </w:r>
    </w:p>
    <w:p>
      <w:r>
        <w:t>Comparison of raw right-skewed monetary values versus log1p normalized distributions: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27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27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3.2 Mutual Information Feature Ranking</w:t>
      </w:r>
    </w:p>
    <w:p>
      <w:r>
        <w:t>Quantification of non-linear feature dependency relative to customer churn target: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625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3.3 PCA Dimensionality Reduction &amp; Variance Explained</w:t>
      </w:r>
    </w:p>
    <w:p>
      <w:r>
        <w:t>Scree plot and 2D principal component projection of high-dimensional feature vectors: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729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2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4. Key Insights &amp; Downstream Impact</w:t>
      </w:r>
    </w:p>
    <w:p>
      <w:pPr>
        <w:spacing w:after="60"/>
        <w:ind w:left="288"/>
      </w:pPr>
      <w:r>
        <w:rPr>
          <w:rFonts w:ascii="Calibri" w:hAnsi="Calibri"/>
          <w:b/>
          <w:sz w:val="19"/>
        </w:rPr>
        <w:t xml:space="preserve">• Engineered Signals Outperform Raw Features: </w:t>
      </w:r>
      <w:r>
        <w:rPr>
          <w:rFonts w:ascii="Calibri" w:hAnsi="Calibri"/>
          <w:sz w:val="19"/>
        </w:rPr>
        <w:t>EngagementScore and IncomeSpendRatio demonstrated higher mutual information scores than isolated raw transaction metrics.</w:t>
      </w:r>
    </w:p>
    <w:p>
      <w:pPr>
        <w:spacing w:after="60"/>
        <w:ind w:left="288"/>
      </w:pPr>
      <w:r>
        <w:rPr>
          <w:rFonts w:ascii="Calibri" w:hAnsi="Calibri"/>
          <w:b/>
          <w:sz w:val="19"/>
        </w:rPr>
        <w:t xml:space="preserve">• Dimensionality Reduction Efficacy: </w:t>
      </w:r>
      <w:r>
        <w:rPr>
          <w:rFonts w:ascii="Calibri" w:hAnsi="Calibri"/>
          <w:sz w:val="19"/>
        </w:rPr>
        <w:t>The top 4 principal components capture over 82% of cumulative dataset variance, drastically reducing collinearity for classification models.</w:t>
      </w:r>
    </w:p>
    <w:p>
      <w:pPr>
        <w:spacing w:after="60"/>
        <w:ind w:left="288"/>
      </w:pPr>
      <w:r>
        <w:rPr>
          <w:rFonts w:ascii="Calibri" w:hAnsi="Calibri"/>
          <w:b/>
          <w:sz w:val="19"/>
        </w:rPr>
        <w:t xml:space="preserve">• Threshold Dynamics: </w:t>
      </w:r>
      <w:r>
        <w:rPr>
          <w:rFonts w:ascii="Calibri" w:hAnsi="Calibri"/>
          <w:sz w:val="19"/>
        </w:rPr>
        <w:t>Accounts with an IncomeSpendRatio &gt; 0.15 exhibit a 3.2x higher propensity for churn due to budget-sensitivity.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5. Conclusion</w:t>
      </w:r>
    </w:p>
    <w:p>
      <w:r>
        <w:t>Week 3 establishes an optimized, high-signal feature matrix with standardized scaling and reduced dimensionality, directly unlocking superior predictive performance for Week 4 machine learning models.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