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A365D"/>
          <w:sz w:val="36"/>
        </w:rPr>
        <w:t>Week 5 Final Project Report: Comprehensive Data Science Synthesis &amp; Strategic Roadmap</w:t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21"/>
        </w:rPr>
        <w:t>Executive Capstone Deliverable | End-to-End Analytics, Modeling &amp; Stakeholder Strategy</w:t>
      </w:r>
    </w:p>
    <w:p>
      <w:pPr>
        <w:keepNext/>
        <w:spacing w:before="280" w:after="80"/>
      </w:pPr>
      <w:r>
        <w:rPr>
          <w:rFonts w:ascii="Calibri" w:hAnsi="Calibri"/>
          <w:b/>
          <w:color w:val="1A365D"/>
          <w:sz w:val="30"/>
        </w:rPr>
        <w:t>1. Executive Summary</w:t>
      </w:r>
    </w:p>
    <w:p>
      <w:r>
        <w:t>This final capstone project consolidates the analytical and technical milestones of the 5-week Data Science Internship. By synthesizing findings from data acquisition, exploratory data analysis, visual storytelling, domain feature engineering, and predictive machine learning classification, this report delivers an actionable, data-driven strategic roadmap for executive stakeholders. The primary business goal is mitigating customer churn and maximizing long-term customer lifetime value (CLV).</w:t>
      </w:r>
    </w:p>
    <w:p>
      <w:pPr>
        <w:keepNext/>
        <w:spacing w:before="280" w:after="80"/>
      </w:pPr>
      <w:r>
        <w:rPr>
          <w:rFonts w:ascii="Calibri" w:hAnsi="Calibri"/>
          <w:b/>
          <w:color w:val="1A365D"/>
          <w:sz w:val="30"/>
        </w:rPr>
        <w:t>2. End-to-End Technical Methodology Synthesis</w:t>
      </w:r>
    </w:p>
    <w:p>
      <w:r>
        <w:t>A structured summary of weekly project milestones and methodologies executed throughout the lifecycle: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Project Phase</w:t>
            </w:r>
          </w:p>
        </w:tc>
        <w:tc>
          <w:tcPr>
            <w:tcW w:type="dxa" w:w="2340"/>
            <w:shd w:fill="1A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Core Focus &amp; Techniques</w:t>
            </w:r>
          </w:p>
        </w:tc>
        <w:tc>
          <w:tcPr>
            <w:tcW w:type="dxa" w:w="2340"/>
            <w:shd w:fill="1A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Key Technical Outputs</w:t>
            </w:r>
          </w:p>
        </w:tc>
        <w:tc>
          <w:tcPr>
            <w:tcW w:type="dxa" w:w="2340"/>
            <w:shd w:fill="1A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Business Impact</w:t>
            </w:r>
          </w:p>
        </w:tc>
      </w:tr>
      <w:tr>
        <w:tc>
          <w:tcPr>
            <w:tcW w:type="dxa" w:w="23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Week 1: Data Ingestion &amp; EDA</w:t>
            </w:r>
          </w:p>
        </w:tc>
        <w:tc>
          <w:tcPr>
            <w:tcW w:type="dxa" w:w="23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Data governance, type casting, IQR outlier treatment, missingness imputation</w:t>
            </w:r>
          </w:p>
        </w:tc>
        <w:tc>
          <w:tcPr>
            <w:tcW w:type="dxa" w:w="23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Clean dataset, statistical profiles, correlation matrices</w:t>
            </w:r>
          </w:p>
        </w:tc>
        <w:tc>
          <w:tcPr>
            <w:tcW w:type="dxa" w:w="23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Established trusted baseline data quality</w:t>
            </w:r>
          </w:p>
        </w:tc>
      </w:tr>
      <w:tr>
        <w:tc>
          <w:tcPr>
            <w:tcW w:type="dxa" w:w="23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Week 2: Visual Storytelling</w:t>
            </w:r>
          </w:p>
        </w:tc>
        <w:tc>
          <w:tcPr>
            <w:tcW w:type="dxa" w:w="23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Multi-panel distributions, CLV cohort segmentation, CSAT friction matrices</w:t>
            </w:r>
          </w:p>
        </w:tc>
        <w:tc>
          <w:tcPr>
            <w:tcW w:type="dxa" w:w="23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Executive visual narrative &amp; cohort risk heatmaps</w:t>
            </w:r>
          </w:p>
        </w:tc>
        <w:tc>
          <w:tcPr>
            <w:tcW w:type="dxa" w:w="23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Isolated high-risk customer touchpoints</w:t>
            </w:r>
          </w:p>
        </w:tc>
      </w:tr>
      <w:tr>
        <w:tc>
          <w:tcPr>
            <w:tcW w:type="dxa" w:w="23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Week 3: Feature Engineering</w:t>
            </w:r>
          </w:p>
        </w:tc>
        <w:tc>
          <w:tcPr>
            <w:tcW w:type="dxa" w:w="23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Domain ratio synthesis, log-normalization, Mutual Info, PCA reduction</w:t>
            </w:r>
          </w:p>
        </w:tc>
        <w:tc>
          <w:tcPr>
            <w:tcW w:type="dxa" w:w="23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4 engineered features, orthogonal component vectors</w:t>
            </w:r>
          </w:p>
        </w:tc>
        <w:tc>
          <w:tcPr>
            <w:tcW w:type="dxa" w:w="23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Elevated predictive signal and model stability</w:t>
            </w:r>
          </w:p>
        </w:tc>
      </w:tr>
      <w:tr>
        <w:tc>
          <w:tcPr>
            <w:tcW w:type="dxa" w:w="23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Week 4: Machine Learning</w:t>
            </w:r>
          </w:p>
        </w:tc>
        <w:tc>
          <w:tcPr>
            <w:tcW w:type="dxa" w:w="23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ColumnTransformer, Logistic Regression vs Random Forest, ROC-AUC benchmarking</w:t>
            </w:r>
          </w:p>
        </w:tc>
        <w:tc>
          <w:tcPr>
            <w:tcW w:type="dxa" w:w="23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Trained ML model (AUC: 0.884, F1: 0.81, Acc: 85.2%)</w:t>
            </w:r>
          </w:p>
        </w:tc>
        <w:tc>
          <w:tcPr>
            <w:tcW w:type="dxa" w:w="23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Automated proactive churn scoring engine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A365D"/>
          <w:sz w:val="30"/>
        </w:rPr>
        <w:t>3. Key Analytical Insights &amp; Visual Evidence</w:t>
      </w:r>
    </w:p>
    <w:p>
      <w:r>
        <w:t>Cohort behavior analysis reveals that customer retention directly scales with account tenure, driving non-linear CLV expansion: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444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executive_kp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4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60"/>
      </w:pPr>
      <w:r>
        <w:rPr>
          <w:rFonts w:ascii="Calibri" w:hAnsi="Calibri"/>
          <w:b/>
          <w:color w:val="2B6CB0"/>
          <w:sz w:val="24"/>
        </w:rPr>
        <w:t>3.1 Synthesis Python Pipeline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8"/>
              </w:rPr>
              <w:t># End-to-End Scoring &amp; Strategic Pipeline Synthesis</w:t>
              <w:br/>
              <w:t>import pandas as pd</w:t>
              <w:br/>
              <w:t>import joblib</w:t>
              <w:br/>
              <w:br/>
              <w:t>def generate_stakeholder_churn_risk_report(customer_records_df, trained_model_pipeline):</w:t>
              <w:br/>
              <w:t xml:space="preserve">    # Predict probabilities using champion Random Forest model</w:t>
              <w:br/>
              <w:t xml:space="preserve">    probabilities = trained_model_pipeline.predict_proba(customer_records_df)[:, 1]</w:t>
              <w:br/>
              <w:t xml:space="preserve">    </w:t>
              <w:br/>
              <w:t xml:space="preserve">    # Apply cost-optimized threshold (0.40) to minimize False Negatives</w:t>
              <w:br/>
              <w:t xml:space="preserve">    customer_records_df['Churn_Risk_Score'] = probabilities.round(4)</w:t>
              <w:br/>
              <w:t xml:space="preserve">    customer_records_df['High_Risk_Alert'] = (probabilities &gt;= 0.40).astype(int)</w:t>
              <w:br/>
              <w:t xml:space="preserve">    </w:t>
              <w:br/>
              <w:t xml:space="preserve">    # Segment for targeted executive intervention</w:t>
              <w:br/>
              <w:t xml:space="preserve">    high_priority_cohort = customer_records_df[</w:t>
              <w:br/>
              <w:t xml:space="preserve">        (customer_records_df['High_Risk_Alert'] == 1) &amp; </w:t>
              <w:br/>
              <w:t xml:space="preserve">        (customer_records_df['AnnualSpend'] &gt; 10000)</w:t>
              <w:br/>
              <w:t xml:space="preserve">    ]</w:t>
              <w:br/>
              <w:t xml:space="preserve">    return high_priority_cohort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A365D"/>
          <w:sz w:val="30"/>
        </w:rPr>
        <w:t>4. Strategic Recommendations for Stakeholders</w:t>
      </w:r>
    </w:p>
    <w:p>
      <w:r>
        <w:t>Based on quantitative evidence and feature importance rankings, four strategic initiatives are recommended to executive management:</w:t>
      </w:r>
    </w:p>
    <w:p>
      <w:pPr>
        <w:spacing w:after="60"/>
        <w:ind w:left="288"/>
      </w:pPr>
      <w:r>
        <w:rPr>
          <w:rFonts w:ascii="Calibri" w:hAnsi="Calibri"/>
          <w:b/>
          <w:sz w:val="19"/>
        </w:rPr>
        <w:t xml:space="preserve">• Targeted Early Lifecycle Onboarding (Months 0-6): </w:t>
      </w:r>
      <w:r>
        <w:rPr>
          <w:rFonts w:ascii="Calibri" w:hAnsi="Calibri"/>
          <w:sz w:val="19"/>
        </w:rPr>
        <w:t>Tenure is the single largest determinant of churn (41.2% importance). Introduce proactive customer success check-ins at 30, 60, and 90 days to lift early retention past the critical 12-month inflection point.</w:t>
      </w:r>
    </w:p>
    <w:p>
      <w:pPr>
        <w:spacing w:after="60"/>
        <w:ind w:left="288"/>
      </w:pPr>
      <w:r>
        <w:rPr>
          <w:rFonts w:ascii="Calibri" w:hAnsi="Calibri"/>
          <w:b/>
          <w:sz w:val="19"/>
        </w:rPr>
        <w:t xml:space="preserve">• Automated High-Risk Alert Triggers: </w:t>
      </w:r>
      <w:r>
        <w:rPr>
          <w:rFonts w:ascii="Calibri" w:hAnsi="Calibri"/>
          <w:sz w:val="19"/>
        </w:rPr>
        <w:t>Deploy the champion Random Forest classification pipeline in real-time. Customers assigned a churn probability &gt;= 0.40 or reporting CSAT &lt;= 2 should trigger immediate high-priority customer support outreach.</w:t>
      </w:r>
    </w:p>
    <w:p>
      <w:pPr>
        <w:spacing w:after="60"/>
        <w:ind w:left="288"/>
      </w:pPr>
      <w:r>
        <w:rPr>
          <w:rFonts w:ascii="Calibri" w:hAnsi="Calibri"/>
          <w:b/>
          <w:sz w:val="19"/>
        </w:rPr>
        <w:t xml:space="preserve">• Wallet-Share Affordability Programs: </w:t>
      </w:r>
      <w:r>
        <w:rPr>
          <w:rFonts w:ascii="Calibri" w:hAnsi="Calibri"/>
          <w:sz w:val="19"/>
        </w:rPr>
        <w:t>Customers exhibiting an IncomeSpendRatio &gt; 0.15 face budget friction. Introduce flexible annual billing plans and loyalty discounts to prevent price-driven attrition.</w:t>
      </w:r>
    </w:p>
    <w:p>
      <w:pPr>
        <w:spacing w:after="60"/>
        <w:ind w:left="288"/>
      </w:pPr>
      <w:r>
        <w:rPr>
          <w:rFonts w:ascii="Calibri" w:hAnsi="Calibri"/>
          <w:b/>
          <w:sz w:val="19"/>
        </w:rPr>
        <w:t xml:space="preserve">• AI-Driven Support Ticket Deflection: </w:t>
      </w:r>
      <w:r>
        <w:rPr>
          <w:rFonts w:ascii="Calibri" w:hAnsi="Calibri"/>
          <w:sz w:val="19"/>
        </w:rPr>
        <w:t>Support friction strongly drives churn. Implementing self-serve AI resolution flows will reduce ticket backlog and preserve customer sentiment.</w:t>
      </w:r>
    </w:p>
    <w:p>
      <w:pPr>
        <w:keepNext/>
        <w:spacing w:before="200" w:after="60"/>
      </w:pPr>
      <w:r>
        <w:rPr>
          <w:rFonts w:ascii="Calibri" w:hAnsi="Calibri"/>
          <w:b/>
          <w:color w:val="2B6CB0"/>
          <w:sz w:val="24"/>
        </w:rPr>
        <w:t>4.1 Expected ROI &amp; Implementation Prioritization</w:t>
      </w:r>
    </w:p>
    <w:p>
      <w:r>
        <w:t>Estimated 12-month return on investment and impact prioritization across proposed initiatives: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7109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strategic_ro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710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80"/>
      </w:pPr>
      <w:r>
        <w:rPr>
          <w:rFonts w:ascii="Calibri" w:hAnsi="Calibri"/>
          <w:b/>
          <w:color w:val="1A365D"/>
          <w:sz w:val="30"/>
        </w:rPr>
        <w:t>5. Project Limitations &amp; Future Roadmap</w:t>
      </w:r>
    </w:p>
    <w:p>
      <w:pPr>
        <w:spacing w:after="60"/>
        <w:ind w:left="288"/>
      </w:pPr>
      <w:r>
        <w:rPr>
          <w:rFonts w:ascii="Calibri" w:hAnsi="Calibri"/>
          <w:b/>
          <w:sz w:val="19"/>
        </w:rPr>
        <w:t xml:space="preserve">• Data Limitations: </w:t>
      </w:r>
      <w:r>
        <w:rPr>
          <w:rFonts w:ascii="Calibri" w:hAnsi="Calibri"/>
          <w:sz w:val="19"/>
        </w:rPr>
        <w:t>The current modeling relies on tabular behavioral snapshots. Future iterations should incorporate real-time clickstream event sequences and unstructured support ticket NLP sentiment analysis.</w:t>
      </w:r>
    </w:p>
    <w:p>
      <w:pPr>
        <w:spacing w:after="60"/>
        <w:ind w:left="288"/>
      </w:pPr>
      <w:r>
        <w:rPr>
          <w:rFonts w:ascii="Calibri" w:hAnsi="Calibri"/>
          <w:b/>
          <w:sz w:val="19"/>
        </w:rPr>
        <w:t xml:space="preserve">• Model Evolution: </w:t>
      </w:r>
      <w:r>
        <w:rPr>
          <w:rFonts w:ascii="Calibri" w:hAnsi="Calibri"/>
          <w:sz w:val="19"/>
        </w:rPr>
        <w:t>Explore production deployment using FastAPI microservices and gradient-boosted trees (XGBoost/LightGBM) integrated with Optuna automated hyperparameter tuning.</w:t>
      </w:r>
    </w:p>
    <w:p>
      <w:pPr>
        <w:spacing w:after="60"/>
        <w:ind w:left="288"/>
      </w:pPr>
      <w:r>
        <w:rPr>
          <w:rFonts w:ascii="Calibri" w:hAnsi="Calibri"/>
          <w:b/>
          <w:sz w:val="19"/>
        </w:rPr>
        <w:t xml:space="preserve">• Causal Inference: </w:t>
      </w:r>
      <w:r>
        <w:rPr>
          <w:rFonts w:ascii="Calibri" w:hAnsi="Calibri"/>
          <w:sz w:val="19"/>
        </w:rPr>
        <w:t>Conduct randomized controlled A/B testing on retention interventions to isolate causal uplift from organic retention.</w:t>
      </w:r>
    </w:p>
    <w:p>
      <w:pPr>
        <w:keepNext/>
        <w:spacing w:before="280" w:after="80"/>
      </w:pPr>
      <w:r>
        <w:rPr>
          <w:rFonts w:ascii="Calibri" w:hAnsi="Calibri"/>
          <w:b/>
          <w:color w:val="1A365D"/>
          <w:sz w:val="30"/>
        </w:rPr>
        <w:t>6. Conclusion</w:t>
      </w:r>
    </w:p>
    <w:p>
      <w:r>
        <w:t>The 5-week Data Science Internship successfully demonstrated the end-to-end data science lifecycle. Transforming raw transactional records into high-accuracy predictive intelligence enables the organization to shift from reactive churn triage to proactive, high-ROI customer lifecycle optimization.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