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6"/>
        </w:rPr>
        <w:t>AI/Automation Spend in Banking Sector Analysis</w:t>
      </w:r>
    </w:p>
    <w:p>
      <w:pPr>
        <w:jc w:val="center"/>
      </w:pPr>
      <w:r>
        <w:rPr>
          <w:rFonts w:ascii="Times New Roman" w:hAnsi="Times New Roman"/>
          <w:b/>
          <w:color w:val="000000"/>
          <w:sz w:val="28"/>
        </w:rPr>
        <w:t>Research Paper</w:t>
      </w:r>
    </w:p>
    <w:p>
      <w:pPr>
        <w:jc w:val="center"/>
      </w:pPr>
      <w:r>
        <w:rPr>
          <w:rFonts w:ascii="Times New Roman" w:hAnsi="Times New Roman"/>
          <w:i/>
          <w:color w:val="000000"/>
          <w:sz w:val="22"/>
        </w:rPr>
        <w:t>Data Analytics Project | Python | Pandas | NumPy | MySQL | SQL | Matplotlib | Seaborn | Power BI</w:t>
      </w:r>
    </w:p>
    <w:p>
      <w:pPr>
        <w:spacing w:before="160" w:after="100"/>
        <w:jc w:val="left"/>
      </w:pPr>
      <w:r>
        <w:rPr>
          <w:rFonts w:ascii="Times New Roman" w:hAnsi="Times New Roman"/>
          <w:b/>
          <w:color w:val="000000"/>
          <w:sz w:val="26"/>
        </w:rPr>
        <w:t>Abstract</w:t>
      </w:r>
    </w:p>
    <w:p>
      <w:pPr>
        <w:jc w:val="both"/>
      </w:pPr>
      <w:r>
        <w:rPr>
          <w:rFonts w:ascii="Times New Roman" w:hAnsi="Times New Roman"/>
          <w:color w:val="000000"/>
          <w:sz w:val="22"/>
        </w:rPr>
        <w:t>Artificial Intelligence and automation are becoming important technologies in the banking sector. Banks are investing in technologies such as Generative AI, Machine Learning, RPA + AI and AI Automation to improve operational efficiency, automate repetitive activities, reduce costs and support business processes.</w:t>
      </w:r>
    </w:p>
    <w:p>
      <w:pPr>
        <w:jc w:val="both"/>
      </w:pPr>
      <w:r>
        <w:rPr>
          <w:rFonts w:ascii="Times New Roman" w:hAnsi="Times New Roman"/>
          <w:color w:val="000000"/>
          <w:sz w:val="22"/>
        </w:rPr>
        <w:t>This project focuses on analyzing AI and automation spending across banks, countries, regions, technologies, AI use cases and maturity levels. The dataset contains information about AI spending, estimated cost savings, ROI, automation rate, monthly FTE hours saved, AI projects and maturity.</w:t>
      </w:r>
    </w:p>
    <w:p>
      <w:pPr>
        <w:jc w:val="both"/>
      </w:pPr>
      <w:r>
        <w:rPr>
          <w:rFonts w:ascii="Times New Roman" w:hAnsi="Times New Roman"/>
          <w:color w:val="000000"/>
          <w:sz w:val="22"/>
        </w:rPr>
        <w:t>The data is cleaned and analyzed using Python. Pandas is used for data processing, grouping and aggregation, while NumPy is used for numerical calculations and feature engineering. MySQL and SQL are used for structured database analysis. Matplotlib and Seaborn are used to create analytical visualizations and correlation analysis. Power BI can be used as the interactive dashboard layer for business reporting.</w:t>
      </w:r>
    </w:p>
    <w:p>
      <w:pPr>
        <w:jc w:val="both"/>
      </w:pPr>
      <w:r>
        <w:rPr>
          <w:rFonts w:ascii="Times New Roman" w:hAnsi="Times New Roman"/>
          <w:color w:val="000000"/>
          <w:sz w:val="22"/>
        </w:rPr>
        <w:t>The cleaned project dataset contains 72 records covering 2020 to 2025, 12 countries, 4 regions, 27 banks, 10 AI use cases and 4 technologies. Total recorded AI spending is USD 395.31 million and estimated cost savings are USD 403.37 million. The overall average ROI is 3.03x and average automation rate is 48.27%.</w:t>
      </w:r>
    </w:p>
    <w:p>
      <w:pPr>
        <w:jc w:val="both"/>
      </w:pPr>
      <w:r>
        <w:rPr>
          <w:rFonts w:ascii="Times New Roman" w:hAnsi="Times New Roman"/>
          <w:color w:val="000000"/>
          <w:sz w:val="22"/>
        </w:rPr>
        <w:t>Keywords: Artificial Intelligence, Banking, Automation, AI Investment, AI Spend, Cost Savings, ROI, Automation Rate, Data Analytics, Python, MySQL, SQL, Power BI</w:t>
      </w:r>
    </w:p>
    <w:p>
      <w:pPr>
        <w:spacing w:before="160" w:after="100"/>
        <w:jc w:val="left"/>
      </w:pPr>
      <w:r>
        <w:rPr>
          <w:rFonts w:ascii="Times New Roman" w:hAnsi="Times New Roman"/>
          <w:b/>
          <w:color w:val="000000"/>
          <w:sz w:val="26"/>
        </w:rPr>
        <w:t>1. Introduction</w:t>
      </w:r>
    </w:p>
    <w:p>
      <w:pPr>
        <w:jc w:val="both"/>
      </w:pPr>
      <w:r>
        <w:rPr>
          <w:rFonts w:ascii="Times New Roman" w:hAnsi="Times New Roman"/>
          <w:color w:val="000000"/>
          <w:sz w:val="22"/>
        </w:rPr>
        <w:t>Artificial Intelligence has become an important part of modern banking. Banks use AI and automation in areas such as fraud detection, AML monitoring, KYC automation, credit risk and underwriting, customer service, document processing, IT operations, code generation and marketing personalization.</w:t>
      </w:r>
    </w:p>
    <w:p>
      <w:pPr>
        <w:jc w:val="both"/>
      </w:pPr>
      <w:r>
        <w:rPr>
          <w:rFonts w:ascii="Times New Roman" w:hAnsi="Times New Roman"/>
          <w:color w:val="000000"/>
          <w:sz w:val="22"/>
        </w:rPr>
        <w:t>Investment in AI is useful only when it produces measurable business value. Therefore, analyzing spending together with cost savings, ROI, automation rate and productivity provides a more complete view of AI adoption.</w:t>
      </w:r>
    </w:p>
    <w:p>
      <w:pPr>
        <w:jc w:val="both"/>
      </w:pPr>
      <w:r>
        <w:rPr>
          <w:rFonts w:ascii="Times New Roman" w:hAnsi="Times New Roman"/>
          <w:color w:val="000000"/>
          <w:sz w:val="22"/>
        </w:rPr>
        <w:t>The project AI/Automation Spend in Banking Sector Analysis is developed to study these indicators across different years, regions, countries, banks, technologies, use cases and maturity levels. Data analytics helps convert the raw records into meaningful comparisons and business insights.</w:t>
      </w:r>
    </w:p>
    <w:p>
      <w:pPr>
        <w:spacing w:before="160" w:after="100"/>
        <w:jc w:val="left"/>
      </w:pPr>
      <w:r>
        <w:rPr>
          <w:rFonts w:ascii="Times New Roman" w:hAnsi="Times New Roman"/>
          <w:b/>
          <w:color w:val="000000"/>
          <w:sz w:val="26"/>
        </w:rPr>
        <w:t>2. Problem Statement</w:t>
      </w:r>
    </w:p>
    <w:p>
      <w:pPr>
        <w:jc w:val="both"/>
      </w:pPr>
      <w:r>
        <w:rPr>
          <w:rFonts w:ascii="Times New Roman" w:hAnsi="Times New Roman"/>
          <w:color w:val="000000"/>
          <w:sz w:val="22"/>
        </w:rPr>
        <w:t>Banking AI investment data contains multiple dimensions such as year, region, country, bank, AI use case, technology, spending, cost savings, ROI, automation rate, FTE hours saved, number of projects and maturity. Reviewing these details manually is difficult and time-consuming.</w:t>
      </w:r>
    </w:p>
    <w:p>
      <w:pPr>
        <w:jc w:val="both"/>
      </w:pPr>
      <w:r>
        <w:rPr>
          <w:rFonts w:ascii="Times New Roman" w:hAnsi="Times New Roman"/>
          <w:color w:val="000000"/>
          <w:sz w:val="22"/>
        </w:rPr>
        <w:t>There is a need for a structured data analytics solution that can clean the raw data, calculate business metrics, compare AI investments and present the findings in an easy-to-understand format. The project addresses this requirement using Python, SQL, visualization tools and dashboard-based reporting.</w:t>
      </w:r>
    </w:p>
    <w:p>
      <w:pPr>
        <w:spacing w:before="160" w:after="100"/>
        <w:jc w:val="left"/>
      </w:pPr>
      <w:r>
        <w:rPr>
          <w:rFonts w:ascii="Times New Roman" w:hAnsi="Times New Roman"/>
          <w:b/>
          <w:color w:val="000000"/>
          <w:sz w:val="26"/>
        </w:rPr>
        <w:t>3. Objectives</w:t>
      </w:r>
    </w:p>
    <w:p>
      <w:pPr>
        <w:pStyle w:val="ListNumber"/>
        <w:jc w:val="both"/>
      </w:pPr>
      <w:r>
        <w:rPr>
          <w:rFonts w:ascii="Times New Roman" w:hAnsi="Times New Roman"/>
          <w:color w:val="000000"/>
          <w:sz w:val="22"/>
        </w:rPr>
        <w:t>To analyze AI and automation spending in the banking sector from 2020 to 2025.</w:t>
      </w:r>
    </w:p>
    <w:p>
      <w:pPr>
        <w:pStyle w:val="ListNumber"/>
        <w:jc w:val="both"/>
      </w:pPr>
      <w:r>
        <w:rPr>
          <w:rFonts w:ascii="Times New Roman" w:hAnsi="Times New Roman"/>
          <w:color w:val="000000"/>
          <w:sz w:val="22"/>
        </w:rPr>
        <w:t>To compare AI spending across regions and countries.</w:t>
      </w:r>
    </w:p>
    <w:p>
      <w:pPr>
        <w:pStyle w:val="ListNumber"/>
        <w:jc w:val="both"/>
      </w:pPr>
      <w:r>
        <w:rPr>
          <w:rFonts w:ascii="Times New Roman" w:hAnsi="Times New Roman"/>
          <w:color w:val="000000"/>
          <w:sz w:val="22"/>
        </w:rPr>
        <w:t>To analyze bank-wise AI investment.</w:t>
      </w:r>
    </w:p>
    <w:p>
      <w:pPr>
        <w:pStyle w:val="ListNumber"/>
        <w:jc w:val="both"/>
      </w:pPr>
      <w:r>
        <w:rPr>
          <w:rFonts w:ascii="Times New Roman" w:hAnsi="Times New Roman"/>
          <w:color w:val="000000"/>
          <w:sz w:val="22"/>
        </w:rPr>
        <w:t>To compare AI spending across different technologies.</w:t>
      </w:r>
    </w:p>
    <w:p>
      <w:pPr>
        <w:pStyle w:val="ListNumber"/>
        <w:jc w:val="both"/>
      </w:pPr>
      <w:r>
        <w:rPr>
          <w:rFonts w:ascii="Times New Roman" w:hAnsi="Times New Roman"/>
          <w:color w:val="000000"/>
          <w:sz w:val="22"/>
        </w:rPr>
        <w:t>To analyze AI spending and project adoption across different use cases.</w:t>
      </w:r>
    </w:p>
    <w:p>
      <w:pPr>
        <w:pStyle w:val="ListNumber"/>
        <w:jc w:val="both"/>
      </w:pPr>
      <w:r>
        <w:rPr>
          <w:rFonts w:ascii="Times New Roman" w:hAnsi="Times New Roman"/>
          <w:color w:val="000000"/>
          <w:sz w:val="22"/>
        </w:rPr>
        <w:t>To evaluate estimated cost savings and net benefit.</w:t>
      </w:r>
    </w:p>
    <w:p>
      <w:pPr>
        <w:pStyle w:val="ListNumber"/>
        <w:jc w:val="both"/>
      </w:pPr>
      <w:r>
        <w:rPr>
          <w:rFonts w:ascii="Times New Roman" w:hAnsi="Times New Roman"/>
          <w:color w:val="000000"/>
          <w:sz w:val="22"/>
        </w:rPr>
        <w:t>To calculate and compare ROI and automation rates.</w:t>
      </w:r>
    </w:p>
    <w:p>
      <w:pPr>
        <w:pStyle w:val="ListNumber"/>
        <w:jc w:val="both"/>
      </w:pPr>
      <w:r>
        <w:rPr>
          <w:rFonts w:ascii="Times New Roman" w:hAnsi="Times New Roman"/>
          <w:color w:val="000000"/>
          <w:sz w:val="22"/>
        </w:rPr>
        <w:t>To analyze monthly FTE hours saved through automation.</w:t>
      </w:r>
    </w:p>
    <w:p>
      <w:pPr>
        <w:pStyle w:val="ListNumber"/>
        <w:jc w:val="both"/>
      </w:pPr>
      <w:r>
        <w:rPr>
          <w:rFonts w:ascii="Times New Roman" w:hAnsi="Times New Roman"/>
          <w:color w:val="000000"/>
          <w:sz w:val="22"/>
        </w:rPr>
        <w:t>To compare AI maturity categories such as Pilot, Scaling and Production.</w:t>
      </w:r>
    </w:p>
    <w:p>
      <w:pPr>
        <w:pStyle w:val="ListNumber"/>
        <w:jc w:val="both"/>
      </w:pPr>
      <w:r>
        <w:rPr>
          <w:rFonts w:ascii="Times New Roman" w:hAnsi="Times New Roman"/>
          <w:color w:val="000000"/>
          <w:sz w:val="22"/>
        </w:rPr>
        <w:t>To create derived business metrics such as net benefit, savings-to-spend ratio and total impact score.</w:t>
      </w:r>
    </w:p>
    <w:p>
      <w:pPr>
        <w:pStyle w:val="ListNumber"/>
        <w:jc w:val="both"/>
      </w:pPr>
      <w:r>
        <w:rPr>
          <w:rFonts w:ascii="Times New Roman" w:hAnsi="Times New Roman"/>
          <w:color w:val="000000"/>
          <w:sz w:val="22"/>
        </w:rPr>
        <w:t>To store and analyze the data using MySQL and SQL queries.</w:t>
      </w:r>
    </w:p>
    <w:p>
      <w:pPr>
        <w:pStyle w:val="ListNumber"/>
        <w:jc w:val="both"/>
      </w:pPr>
      <w:r>
        <w:rPr>
          <w:rFonts w:ascii="Times New Roman" w:hAnsi="Times New Roman"/>
          <w:color w:val="000000"/>
          <w:sz w:val="22"/>
        </w:rPr>
        <w:t>To create analytical visualizations and support an interactive Power BI dashboard.</w:t>
      </w:r>
    </w:p>
    <w:p>
      <w:pPr>
        <w:spacing w:before="160" w:after="100"/>
        <w:jc w:val="left"/>
      </w:pPr>
      <w:r>
        <w:rPr>
          <w:rFonts w:ascii="Times New Roman" w:hAnsi="Times New Roman"/>
          <w:b/>
          <w:color w:val="000000"/>
          <w:sz w:val="26"/>
        </w:rPr>
        <w:t>4. Dataset Description</w:t>
      </w:r>
    </w:p>
    <w:p>
      <w:pPr>
        <w:jc w:val="both"/>
      </w:pPr>
      <w:r>
        <w:rPr>
          <w:rFonts w:ascii="Times New Roman" w:hAnsi="Times New Roman"/>
          <w:color w:val="000000"/>
          <w:sz w:val="22"/>
        </w:rPr>
        <w:t>The project uses a CSV dataset containing banking AI and automation investment records. The raw and cleaned datasets contain 72 records. The cleaned dataset contains 16 columns after feature engineering.</w:t>
      </w:r>
    </w:p>
    <w:tbl>
      <w:tblPr>
        <w:tblStyle w:val="TableGrid"/>
        <w:tblW w:type="auto" w:w="0"/>
        <w:jc w:val="center"/>
        <w:tblLook w:firstColumn="1" w:firstRow="1" w:lastColumn="0" w:lastRow="0" w:noHBand="0" w:noVBand="1" w:val="04A0"/>
      </w:tblPr>
      <w:tblGrid>
        <w:gridCol w:w="5040"/>
        <w:gridCol w:w="5040"/>
      </w:tblGrid>
      <w:tr>
        <w:tc>
          <w:tcPr>
            <w:tcW w:type="dxa" w:w="5040"/>
            <w:shd w:fill="E7E6E6"/>
          </w:tcPr>
          <w:p>
            <w:r>
              <w:rPr>
                <w:rFonts w:ascii="Times New Roman" w:hAnsi="Times New Roman"/>
                <w:b/>
                <w:color w:val="000000"/>
                <w:sz w:val="21"/>
              </w:rPr>
              <w:t>Attribute</w:t>
            </w:r>
          </w:p>
        </w:tc>
        <w:tc>
          <w:tcPr>
            <w:tcW w:type="dxa" w:w="5040"/>
            <w:shd w:fill="E7E6E6"/>
          </w:tcPr>
          <w:p>
            <w:r>
              <w:rPr>
                <w:rFonts w:ascii="Times New Roman" w:hAnsi="Times New Roman"/>
                <w:b/>
                <w:color w:val="000000"/>
                <w:sz w:val="21"/>
              </w:rPr>
              <w:t>Project Details</w:t>
            </w:r>
          </w:p>
        </w:tc>
      </w:tr>
      <w:tr>
        <w:tc>
          <w:tcPr>
            <w:tcW w:type="dxa" w:w="5040"/>
            <w:vAlign w:val="center"/>
          </w:tcPr>
          <w:p>
            <w:r>
              <w:rPr>
                <w:rFonts w:ascii="Times New Roman" w:hAnsi="Times New Roman"/>
                <w:color w:val="000000"/>
                <w:sz w:val="21"/>
              </w:rPr>
              <w:t>Records</w:t>
            </w:r>
          </w:p>
        </w:tc>
        <w:tc>
          <w:tcPr>
            <w:tcW w:type="dxa" w:w="5040"/>
            <w:vAlign w:val="center"/>
          </w:tcPr>
          <w:p>
            <w:r>
              <w:rPr>
                <w:rFonts w:ascii="Times New Roman" w:hAnsi="Times New Roman"/>
                <w:color w:val="000000"/>
                <w:sz w:val="21"/>
              </w:rPr>
              <w:t>72</w:t>
            </w:r>
          </w:p>
        </w:tc>
      </w:tr>
      <w:tr>
        <w:tc>
          <w:tcPr>
            <w:tcW w:type="dxa" w:w="5040"/>
            <w:vAlign w:val="center"/>
          </w:tcPr>
          <w:p>
            <w:r>
              <w:rPr>
                <w:rFonts w:ascii="Times New Roman" w:hAnsi="Times New Roman"/>
                <w:color w:val="000000"/>
                <w:sz w:val="21"/>
              </w:rPr>
              <w:t>Years</w:t>
            </w:r>
          </w:p>
        </w:tc>
        <w:tc>
          <w:tcPr>
            <w:tcW w:type="dxa" w:w="5040"/>
            <w:vAlign w:val="center"/>
          </w:tcPr>
          <w:p>
            <w:r>
              <w:rPr>
                <w:rFonts w:ascii="Times New Roman" w:hAnsi="Times New Roman"/>
                <w:color w:val="000000"/>
                <w:sz w:val="21"/>
              </w:rPr>
              <w:t>2020–2025</w:t>
            </w:r>
          </w:p>
        </w:tc>
      </w:tr>
      <w:tr>
        <w:tc>
          <w:tcPr>
            <w:tcW w:type="dxa" w:w="5040"/>
            <w:vAlign w:val="center"/>
          </w:tcPr>
          <w:p>
            <w:r>
              <w:rPr>
                <w:rFonts w:ascii="Times New Roman" w:hAnsi="Times New Roman"/>
                <w:color w:val="000000"/>
                <w:sz w:val="21"/>
              </w:rPr>
              <w:t>Countries</w:t>
            </w:r>
          </w:p>
        </w:tc>
        <w:tc>
          <w:tcPr>
            <w:tcW w:type="dxa" w:w="5040"/>
            <w:vAlign w:val="center"/>
          </w:tcPr>
          <w:p>
            <w:r>
              <w:rPr>
                <w:rFonts w:ascii="Times New Roman" w:hAnsi="Times New Roman"/>
                <w:color w:val="000000"/>
                <w:sz w:val="21"/>
              </w:rPr>
              <w:t>12</w:t>
            </w:r>
          </w:p>
        </w:tc>
      </w:tr>
      <w:tr>
        <w:tc>
          <w:tcPr>
            <w:tcW w:type="dxa" w:w="5040"/>
            <w:vAlign w:val="center"/>
          </w:tcPr>
          <w:p>
            <w:r>
              <w:rPr>
                <w:rFonts w:ascii="Times New Roman" w:hAnsi="Times New Roman"/>
                <w:color w:val="000000"/>
                <w:sz w:val="21"/>
              </w:rPr>
              <w:t>Regions</w:t>
            </w:r>
          </w:p>
        </w:tc>
        <w:tc>
          <w:tcPr>
            <w:tcW w:type="dxa" w:w="5040"/>
            <w:vAlign w:val="center"/>
          </w:tcPr>
          <w:p>
            <w:r>
              <w:rPr>
                <w:rFonts w:ascii="Times New Roman" w:hAnsi="Times New Roman"/>
                <w:color w:val="000000"/>
                <w:sz w:val="21"/>
              </w:rPr>
              <w:t>4</w:t>
            </w:r>
          </w:p>
        </w:tc>
      </w:tr>
      <w:tr>
        <w:tc>
          <w:tcPr>
            <w:tcW w:type="dxa" w:w="5040"/>
            <w:vAlign w:val="center"/>
          </w:tcPr>
          <w:p>
            <w:r>
              <w:rPr>
                <w:rFonts w:ascii="Times New Roman" w:hAnsi="Times New Roman"/>
                <w:color w:val="000000"/>
                <w:sz w:val="21"/>
              </w:rPr>
              <w:t>Banks</w:t>
            </w:r>
          </w:p>
        </w:tc>
        <w:tc>
          <w:tcPr>
            <w:tcW w:type="dxa" w:w="5040"/>
            <w:vAlign w:val="center"/>
          </w:tcPr>
          <w:p>
            <w:r>
              <w:rPr>
                <w:rFonts w:ascii="Times New Roman" w:hAnsi="Times New Roman"/>
                <w:color w:val="000000"/>
                <w:sz w:val="21"/>
              </w:rPr>
              <w:t>27</w:t>
            </w:r>
          </w:p>
        </w:tc>
      </w:tr>
      <w:tr>
        <w:tc>
          <w:tcPr>
            <w:tcW w:type="dxa" w:w="5040"/>
            <w:vAlign w:val="center"/>
          </w:tcPr>
          <w:p>
            <w:r>
              <w:rPr>
                <w:rFonts w:ascii="Times New Roman" w:hAnsi="Times New Roman"/>
                <w:color w:val="000000"/>
                <w:sz w:val="21"/>
              </w:rPr>
              <w:t>AI Use Cases</w:t>
            </w:r>
          </w:p>
        </w:tc>
        <w:tc>
          <w:tcPr>
            <w:tcW w:type="dxa" w:w="5040"/>
            <w:vAlign w:val="center"/>
          </w:tcPr>
          <w:p>
            <w:r>
              <w:rPr>
                <w:rFonts w:ascii="Times New Roman" w:hAnsi="Times New Roman"/>
                <w:color w:val="000000"/>
                <w:sz w:val="21"/>
              </w:rPr>
              <w:t>10</w:t>
            </w:r>
          </w:p>
        </w:tc>
      </w:tr>
      <w:tr>
        <w:tc>
          <w:tcPr>
            <w:tcW w:type="dxa" w:w="5040"/>
            <w:vAlign w:val="center"/>
          </w:tcPr>
          <w:p>
            <w:r>
              <w:rPr>
                <w:rFonts w:ascii="Times New Roman" w:hAnsi="Times New Roman"/>
                <w:color w:val="000000"/>
                <w:sz w:val="21"/>
              </w:rPr>
              <w:t>Technologies</w:t>
            </w:r>
          </w:p>
        </w:tc>
        <w:tc>
          <w:tcPr>
            <w:tcW w:type="dxa" w:w="5040"/>
            <w:vAlign w:val="center"/>
          </w:tcPr>
          <w:p>
            <w:r>
              <w:rPr>
                <w:rFonts w:ascii="Times New Roman" w:hAnsi="Times New Roman"/>
                <w:color w:val="000000"/>
                <w:sz w:val="21"/>
              </w:rPr>
              <w:t>4</w:t>
            </w:r>
          </w:p>
        </w:tc>
      </w:tr>
      <w:tr>
        <w:tc>
          <w:tcPr>
            <w:tcW w:type="dxa" w:w="5040"/>
            <w:vAlign w:val="center"/>
          </w:tcPr>
          <w:p>
            <w:r>
              <w:rPr>
                <w:rFonts w:ascii="Times New Roman" w:hAnsi="Times New Roman"/>
                <w:color w:val="000000"/>
                <w:sz w:val="21"/>
              </w:rPr>
              <w:t>Maturity Categories</w:t>
            </w:r>
          </w:p>
        </w:tc>
        <w:tc>
          <w:tcPr>
            <w:tcW w:type="dxa" w:w="5040"/>
            <w:vAlign w:val="center"/>
          </w:tcPr>
          <w:p>
            <w:r>
              <w:rPr>
                <w:rFonts w:ascii="Times New Roman" w:hAnsi="Times New Roman"/>
                <w:color w:val="000000"/>
                <w:sz w:val="21"/>
              </w:rPr>
              <w:t>3</w:t>
            </w:r>
          </w:p>
        </w:tc>
      </w:tr>
    </w:tbl>
    <w:p>
      <w:pPr>
        <w:jc w:val="both"/>
      </w:pPr>
    </w:p>
    <w:p>
      <w:pPr>
        <w:spacing w:before="160" w:after="100"/>
        <w:jc w:val="both"/>
      </w:pPr>
      <w:r>
        <w:rPr>
          <w:rFonts w:ascii="Times New Roman" w:hAnsi="Times New Roman"/>
          <w:b/>
          <w:color w:val="000000"/>
          <w:sz w:val="22"/>
        </w:rPr>
        <w:t>Main Dataset Columns</w:t>
      </w:r>
    </w:p>
    <w:tbl>
      <w:tblPr>
        <w:tblStyle w:val="TableGrid"/>
        <w:tblW w:type="auto" w:w="0"/>
        <w:jc w:val="center"/>
        <w:tblLook w:firstColumn="1" w:firstRow="1" w:lastColumn="0" w:lastRow="0" w:noHBand="0" w:noVBand="1" w:val="04A0"/>
      </w:tblPr>
      <w:tblGrid>
        <w:gridCol w:w="5040"/>
        <w:gridCol w:w="5040"/>
      </w:tblGrid>
      <w:tr>
        <w:tc>
          <w:tcPr>
            <w:tcW w:type="dxa" w:w="5040"/>
            <w:shd w:fill="E7E6E6"/>
          </w:tcPr>
          <w:p>
            <w:r>
              <w:rPr>
                <w:rFonts w:ascii="Times New Roman" w:hAnsi="Times New Roman"/>
                <w:b/>
                <w:color w:val="000000"/>
                <w:sz w:val="21"/>
              </w:rPr>
              <w:t>Column</w:t>
            </w:r>
          </w:p>
        </w:tc>
        <w:tc>
          <w:tcPr>
            <w:tcW w:type="dxa" w:w="5040"/>
            <w:shd w:fill="E7E6E6"/>
          </w:tcPr>
          <w:p>
            <w:r>
              <w:rPr>
                <w:rFonts w:ascii="Times New Roman" w:hAnsi="Times New Roman"/>
                <w:b/>
                <w:color w:val="000000"/>
                <w:sz w:val="21"/>
              </w:rPr>
              <w:t>Description</w:t>
            </w:r>
          </w:p>
        </w:tc>
      </w:tr>
      <w:tr>
        <w:tc>
          <w:tcPr>
            <w:tcW w:type="dxa" w:w="5040"/>
            <w:vAlign w:val="center"/>
          </w:tcPr>
          <w:p>
            <w:r>
              <w:rPr>
                <w:rFonts w:ascii="Times New Roman" w:hAnsi="Times New Roman"/>
                <w:color w:val="000000"/>
                <w:sz w:val="21"/>
              </w:rPr>
              <w:t>Year</w:t>
            </w:r>
          </w:p>
        </w:tc>
        <w:tc>
          <w:tcPr>
            <w:tcW w:type="dxa" w:w="5040"/>
            <w:vAlign w:val="center"/>
          </w:tcPr>
          <w:p>
            <w:r>
              <w:rPr>
                <w:rFonts w:ascii="Times New Roman" w:hAnsi="Times New Roman"/>
                <w:color w:val="000000"/>
                <w:sz w:val="21"/>
              </w:rPr>
              <w:t>Year of the AI/automation investment record</w:t>
            </w:r>
          </w:p>
        </w:tc>
      </w:tr>
      <w:tr>
        <w:tc>
          <w:tcPr>
            <w:tcW w:type="dxa" w:w="5040"/>
            <w:vAlign w:val="center"/>
          </w:tcPr>
          <w:p>
            <w:r>
              <w:rPr>
                <w:rFonts w:ascii="Times New Roman" w:hAnsi="Times New Roman"/>
                <w:color w:val="000000"/>
                <w:sz w:val="21"/>
              </w:rPr>
              <w:t>Region</w:t>
            </w:r>
          </w:p>
        </w:tc>
        <w:tc>
          <w:tcPr>
            <w:tcW w:type="dxa" w:w="5040"/>
            <w:vAlign w:val="center"/>
          </w:tcPr>
          <w:p>
            <w:r>
              <w:rPr>
                <w:rFonts w:ascii="Times New Roman" w:hAnsi="Times New Roman"/>
                <w:color w:val="000000"/>
                <w:sz w:val="21"/>
              </w:rPr>
              <w:t>Geographical region of the bank</w:t>
            </w:r>
          </w:p>
        </w:tc>
      </w:tr>
      <w:tr>
        <w:tc>
          <w:tcPr>
            <w:tcW w:type="dxa" w:w="5040"/>
            <w:vAlign w:val="center"/>
          </w:tcPr>
          <w:p>
            <w:r>
              <w:rPr>
                <w:rFonts w:ascii="Times New Roman" w:hAnsi="Times New Roman"/>
                <w:color w:val="000000"/>
                <w:sz w:val="21"/>
              </w:rPr>
              <w:t>Country</w:t>
            </w:r>
          </w:p>
        </w:tc>
        <w:tc>
          <w:tcPr>
            <w:tcW w:type="dxa" w:w="5040"/>
            <w:vAlign w:val="center"/>
          </w:tcPr>
          <w:p>
            <w:r>
              <w:rPr>
                <w:rFonts w:ascii="Times New Roman" w:hAnsi="Times New Roman"/>
                <w:color w:val="000000"/>
                <w:sz w:val="21"/>
              </w:rPr>
              <w:t>Country associated with the bank</w:t>
            </w:r>
          </w:p>
        </w:tc>
      </w:tr>
      <w:tr>
        <w:tc>
          <w:tcPr>
            <w:tcW w:type="dxa" w:w="5040"/>
            <w:vAlign w:val="center"/>
          </w:tcPr>
          <w:p>
            <w:r>
              <w:rPr>
                <w:rFonts w:ascii="Times New Roman" w:hAnsi="Times New Roman"/>
                <w:color w:val="000000"/>
                <w:sz w:val="21"/>
              </w:rPr>
              <w:t>Bank</w:t>
            </w:r>
          </w:p>
        </w:tc>
        <w:tc>
          <w:tcPr>
            <w:tcW w:type="dxa" w:w="5040"/>
            <w:vAlign w:val="center"/>
          </w:tcPr>
          <w:p>
            <w:r>
              <w:rPr>
                <w:rFonts w:ascii="Times New Roman" w:hAnsi="Times New Roman"/>
                <w:color w:val="000000"/>
                <w:sz w:val="21"/>
              </w:rPr>
              <w:t>Bank or banking organization</w:t>
            </w:r>
          </w:p>
        </w:tc>
      </w:tr>
      <w:tr>
        <w:tc>
          <w:tcPr>
            <w:tcW w:type="dxa" w:w="5040"/>
            <w:vAlign w:val="center"/>
          </w:tcPr>
          <w:p>
            <w:r>
              <w:rPr>
                <w:rFonts w:ascii="Times New Roman" w:hAnsi="Times New Roman"/>
                <w:color w:val="000000"/>
                <w:sz w:val="21"/>
              </w:rPr>
              <w:t>AI_Use_Case</w:t>
            </w:r>
          </w:p>
        </w:tc>
        <w:tc>
          <w:tcPr>
            <w:tcW w:type="dxa" w:w="5040"/>
            <w:vAlign w:val="center"/>
          </w:tcPr>
          <w:p>
            <w:r>
              <w:rPr>
                <w:rFonts w:ascii="Times New Roman" w:hAnsi="Times New Roman"/>
                <w:color w:val="000000"/>
                <w:sz w:val="21"/>
              </w:rPr>
              <w:t>Business or operational AI application</w:t>
            </w:r>
          </w:p>
        </w:tc>
      </w:tr>
      <w:tr>
        <w:tc>
          <w:tcPr>
            <w:tcW w:type="dxa" w:w="5040"/>
            <w:vAlign w:val="center"/>
          </w:tcPr>
          <w:p>
            <w:r>
              <w:rPr>
                <w:rFonts w:ascii="Times New Roman" w:hAnsi="Times New Roman"/>
                <w:color w:val="000000"/>
                <w:sz w:val="21"/>
              </w:rPr>
              <w:t>Technology</w:t>
            </w:r>
          </w:p>
        </w:tc>
        <w:tc>
          <w:tcPr>
            <w:tcW w:type="dxa" w:w="5040"/>
            <w:vAlign w:val="center"/>
          </w:tcPr>
          <w:p>
            <w:r>
              <w:rPr>
                <w:rFonts w:ascii="Times New Roman" w:hAnsi="Times New Roman"/>
                <w:color w:val="000000"/>
                <w:sz w:val="21"/>
              </w:rPr>
              <w:t>AI/automation technology used</w:t>
            </w:r>
          </w:p>
        </w:tc>
      </w:tr>
      <w:tr>
        <w:tc>
          <w:tcPr>
            <w:tcW w:type="dxa" w:w="5040"/>
            <w:vAlign w:val="center"/>
          </w:tcPr>
          <w:p>
            <w:r>
              <w:rPr>
                <w:rFonts w:ascii="Times New Roman" w:hAnsi="Times New Roman"/>
                <w:color w:val="000000"/>
                <w:sz w:val="21"/>
              </w:rPr>
              <w:t>AI_Spend_USD_Million</w:t>
            </w:r>
          </w:p>
        </w:tc>
        <w:tc>
          <w:tcPr>
            <w:tcW w:type="dxa" w:w="5040"/>
            <w:vAlign w:val="center"/>
          </w:tcPr>
          <w:p>
            <w:r>
              <w:rPr>
                <w:rFonts w:ascii="Times New Roman" w:hAnsi="Times New Roman"/>
                <w:color w:val="000000"/>
                <w:sz w:val="21"/>
              </w:rPr>
              <w:t>AI investment amount in USD million</w:t>
            </w:r>
          </w:p>
        </w:tc>
      </w:tr>
      <w:tr>
        <w:tc>
          <w:tcPr>
            <w:tcW w:type="dxa" w:w="5040"/>
            <w:vAlign w:val="center"/>
          </w:tcPr>
          <w:p>
            <w:r>
              <w:rPr>
                <w:rFonts w:ascii="Times New Roman" w:hAnsi="Times New Roman"/>
                <w:color w:val="000000"/>
                <w:sz w:val="21"/>
              </w:rPr>
              <w:t>Estimated_Cost_Savings_USD_Million</w:t>
            </w:r>
          </w:p>
        </w:tc>
        <w:tc>
          <w:tcPr>
            <w:tcW w:type="dxa" w:w="5040"/>
            <w:vAlign w:val="center"/>
          </w:tcPr>
          <w:p>
            <w:r>
              <w:rPr>
                <w:rFonts w:ascii="Times New Roman" w:hAnsi="Times New Roman"/>
                <w:color w:val="000000"/>
                <w:sz w:val="21"/>
              </w:rPr>
              <w:t>Estimated cost savings in USD million</w:t>
            </w:r>
          </w:p>
        </w:tc>
      </w:tr>
      <w:tr>
        <w:tc>
          <w:tcPr>
            <w:tcW w:type="dxa" w:w="5040"/>
            <w:vAlign w:val="center"/>
          </w:tcPr>
          <w:p>
            <w:r>
              <w:rPr>
                <w:rFonts w:ascii="Times New Roman" w:hAnsi="Times New Roman"/>
                <w:color w:val="000000"/>
                <w:sz w:val="21"/>
              </w:rPr>
              <w:t>ROI_Multiple</w:t>
            </w:r>
          </w:p>
        </w:tc>
        <w:tc>
          <w:tcPr>
            <w:tcW w:type="dxa" w:w="5040"/>
            <w:vAlign w:val="center"/>
          </w:tcPr>
          <w:p>
            <w:r>
              <w:rPr>
                <w:rFonts w:ascii="Times New Roman" w:hAnsi="Times New Roman"/>
                <w:color w:val="000000"/>
                <w:sz w:val="21"/>
              </w:rPr>
              <w:t>Return on investment multiple</w:t>
            </w:r>
          </w:p>
        </w:tc>
      </w:tr>
      <w:tr>
        <w:tc>
          <w:tcPr>
            <w:tcW w:type="dxa" w:w="5040"/>
            <w:vAlign w:val="center"/>
          </w:tcPr>
          <w:p>
            <w:r>
              <w:rPr>
                <w:rFonts w:ascii="Times New Roman" w:hAnsi="Times New Roman"/>
                <w:color w:val="000000"/>
                <w:sz w:val="21"/>
              </w:rPr>
              <w:t>Automation_Rate_Percent</w:t>
            </w:r>
          </w:p>
        </w:tc>
        <w:tc>
          <w:tcPr>
            <w:tcW w:type="dxa" w:w="5040"/>
            <w:vAlign w:val="center"/>
          </w:tcPr>
          <w:p>
            <w:r>
              <w:rPr>
                <w:rFonts w:ascii="Times New Roman" w:hAnsi="Times New Roman"/>
                <w:color w:val="000000"/>
                <w:sz w:val="21"/>
              </w:rPr>
              <w:t>Percentage of process automation</w:t>
            </w:r>
          </w:p>
        </w:tc>
      </w:tr>
      <w:tr>
        <w:tc>
          <w:tcPr>
            <w:tcW w:type="dxa" w:w="5040"/>
            <w:vAlign w:val="center"/>
          </w:tcPr>
          <w:p>
            <w:r>
              <w:rPr>
                <w:rFonts w:ascii="Times New Roman" w:hAnsi="Times New Roman"/>
                <w:color w:val="000000"/>
                <w:sz w:val="21"/>
              </w:rPr>
              <w:t>FTE_Hours_Saved_Monthly</w:t>
            </w:r>
          </w:p>
        </w:tc>
        <w:tc>
          <w:tcPr>
            <w:tcW w:type="dxa" w:w="5040"/>
            <w:vAlign w:val="center"/>
          </w:tcPr>
          <w:p>
            <w:r>
              <w:rPr>
                <w:rFonts w:ascii="Times New Roman" w:hAnsi="Times New Roman"/>
                <w:color w:val="000000"/>
                <w:sz w:val="21"/>
              </w:rPr>
              <w:t>Monthly employee hours saved</w:t>
            </w:r>
          </w:p>
        </w:tc>
      </w:tr>
      <w:tr>
        <w:tc>
          <w:tcPr>
            <w:tcW w:type="dxa" w:w="5040"/>
            <w:vAlign w:val="center"/>
          </w:tcPr>
          <w:p>
            <w:r>
              <w:rPr>
                <w:rFonts w:ascii="Times New Roman" w:hAnsi="Times New Roman"/>
                <w:color w:val="000000"/>
                <w:sz w:val="21"/>
              </w:rPr>
              <w:t>AI_Projects</w:t>
            </w:r>
          </w:p>
        </w:tc>
        <w:tc>
          <w:tcPr>
            <w:tcW w:type="dxa" w:w="5040"/>
            <w:vAlign w:val="center"/>
          </w:tcPr>
          <w:p>
            <w:r>
              <w:rPr>
                <w:rFonts w:ascii="Times New Roman" w:hAnsi="Times New Roman"/>
                <w:color w:val="000000"/>
                <w:sz w:val="21"/>
              </w:rPr>
              <w:t>Number of AI projects</w:t>
            </w:r>
          </w:p>
        </w:tc>
      </w:tr>
      <w:tr>
        <w:tc>
          <w:tcPr>
            <w:tcW w:type="dxa" w:w="5040"/>
            <w:vAlign w:val="center"/>
          </w:tcPr>
          <w:p>
            <w:r>
              <w:rPr>
                <w:rFonts w:ascii="Times New Roman" w:hAnsi="Times New Roman"/>
                <w:color w:val="000000"/>
                <w:sz w:val="21"/>
              </w:rPr>
              <w:t>Maturity</w:t>
            </w:r>
          </w:p>
        </w:tc>
        <w:tc>
          <w:tcPr>
            <w:tcW w:type="dxa" w:w="5040"/>
            <w:vAlign w:val="center"/>
          </w:tcPr>
          <w:p>
            <w:r>
              <w:rPr>
                <w:rFonts w:ascii="Times New Roman" w:hAnsi="Times New Roman"/>
                <w:color w:val="000000"/>
                <w:sz w:val="21"/>
              </w:rPr>
              <w:t>AI adoption maturity level</w:t>
            </w:r>
          </w:p>
        </w:tc>
      </w:tr>
    </w:tbl>
    <w:p>
      <w:pPr>
        <w:jc w:val="both"/>
      </w:pPr>
    </w:p>
    <w:p>
      <w:pPr>
        <w:spacing w:before="160" w:after="100"/>
        <w:jc w:val="left"/>
      </w:pPr>
      <w:r>
        <w:rPr>
          <w:rFonts w:ascii="Times New Roman" w:hAnsi="Times New Roman"/>
          <w:b/>
          <w:color w:val="000000"/>
          <w:sz w:val="26"/>
        </w:rPr>
        <w:t>5. Technologies Used</w:t>
      </w:r>
    </w:p>
    <w:p>
      <w:pPr>
        <w:spacing w:before="160" w:after="100"/>
        <w:jc w:val="both"/>
      </w:pPr>
      <w:r>
        <w:rPr>
          <w:rFonts w:ascii="Times New Roman" w:hAnsi="Times New Roman"/>
          <w:b/>
          <w:color w:val="000000"/>
          <w:sz w:val="22"/>
        </w:rPr>
        <w:t>Python</w:t>
      </w:r>
    </w:p>
    <w:p>
      <w:pPr>
        <w:jc w:val="both"/>
      </w:pPr>
      <w:r>
        <w:rPr>
          <w:rFonts w:ascii="Times New Roman" w:hAnsi="Times New Roman"/>
          <w:color w:val="000000"/>
          <w:sz w:val="22"/>
        </w:rPr>
        <w:t>Python is used as the main programming language for loading the dataset, cleaning records, performing calculations, grouping data and generating business insights.</w:t>
      </w:r>
    </w:p>
    <w:p>
      <w:pPr>
        <w:spacing w:before="160" w:after="100"/>
        <w:jc w:val="both"/>
      </w:pPr>
      <w:r>
        <w:rPr>
          <w:rFonts w:ascii="Times New Roman" w:hAnsi="Times New Roman"/>
          <w:b/>
          <w:color w:val="000000"/>
          <w:sz w:val="22"/>
        </w:rPr>
        <w:t>Pandas</w:t>
      </w:r>
    </w:p>
    <w:p>
      <w:pPr>
        <w:jc w:val="both"/>
      </w:pPr>
      <w:r>
        <w:rPr>
          <w:rFonts w:ascii="Times New Roman" w:hAnsi="Times New Roman"/>
          <w:color w:val="000000"/>
          <w:sz w:val="22"/>
        </w:rPr>
        <w:t>Pandas is used for DataFrame operations, missing-value checks, duplicate detection, grouping, aggregation, descriptive statistics and exporting the cleaned dataset.</w:t>
      </w:r>
    </w:p>
    <w:p>
      <w:pPr>
        <w:spacing w:before="160" w:after="100"/>
        <w:jc w:val="both"/>
      </w:pPr>
      <w:r>
        <w:rPr>
          <w:rFonts w:ascii="Times New Roman" w:hAnsi="Times New Roman"/>
          <w:b/>
          <w:color w:val="000000"/>
          <w:sz w:val="22"/>
        </w:rPr>
        <w:t>NumPy</w:t>
      </w:r>
    </w:p>
    <w:p>
      <w:pPr>
        <w:jc w:val="both"/>
      </w:pPr>
      <w:r>
        <w:rPr>
          <w:rFonts w:ascii="Times New Roman" w:hAnsi="Times New Roman"/>
          <w:color w:val="000000"/>
          <w:sz w:val="22"/>
        </w:rPr>
        <w:t>NumPy is used for numerical calculations and feature engineering, including the savings-to-spend ratio and other derived metrics.</w:t>
      </w:r>
    </w:p>
    <w:p>
      <w:pPr>
        <w:spacing w:before="160" w:after="100"/>
        <w:jc w:val="both"/>
      </w:pPr>
      <w:r>
        <w:rPr>
          <w:rFonts w:ascii="Times New Roman" w:hAnsi="Times New Roman"/>
          <w:b/>
          <w:color w:val="000000"/>
          <w:sz w:val="22"/>
        </w:rPr>
        <w:t>Matplotlib and Seaborn</w:t>
      </w:r>
    </w:p>
    <w:p>
      <w:pPr>
        <w:jc w:val="both"/>
      </w:pPr>
      <w:r>
        <w:rPr>
          <w:rFonts w:ascii="Times New Roman" w:hAnsi="Times New Roman"/>
          <w:color w:val="000000"/>
          <w:sz w:val="22"/>
        </w:rPr>
        <w:t>Matplotlib and Seaborn are used to create line charts, bar charts, distribution plots, scatter plots and correlation heatmaps.</w:t>
      </w:r>
    </w:p>
    <w:p>
      <w:pPr>
        <w:spacing w:before="160" w:after="100"/>
        <w:jc w:val="both"/>
      </w:pPr>
      <w:r>
        <w:rPr>
          <w:rFonts w:ascii="Times New Roman" w:hAnsi="Times New Roman"/>
          <w:b/>
          <w:color w:val="000000"/>
          <w:sz w:val="22"/>
        </w:rPr>
        <w:t>MySQL and SQL</w:t>
      </w:r>
    </w:p>
    <w:p>
      <w:pPr>
        <w:jc w:val="both"/>
      </w:pPr>
      <w:r>
        <w:rPr>
          <w:rFonts w:ascii="Times New Roman" w:hAnsi="Times New Roman"/>
          <w:color w:val="000000"/>
          <w:sz w:val="22"/>
        </w:rPr>
        <w:t>MySQL is used to store the cleaned banking AI data in a structured database. SQL queries are used for totals, averages, country-wise, region-wise, year-wise, bank-wise, technology-wise and maturity-wise analysis.</w:t>
      </w:r>
    </w:p>
    <w:p>
      <w:pPr>
        <w:spacing w:before="160" w:after="100"/>
        <w:jc w:val="both"/>
      </w:pPr>
      <w:r>
        <w:rPr>
          <w:rFonts w:ascii="Times New Roman" w:hAnsi="Times New Roman"/>
          <w:b/>
          <w:color w:val="000000"/>
          <w:sz w:val="22"/>
        </w:rPr>
        <w:t>Power BI</w:t>
      </w:r>
    </w:p>
    <w:p>
      <w:pPr>
        <w:jc w:val="both"/>
      </w:pPr>
      <w:r>
        <w:rPr>
          <w:rFonts w:ascii="Times New Roman" w:hAnsi="Times New Roman"/>
          <w:color w:val="000000"/>
          <w:sz w:val="22"/>
        </w:rPr>
        <w:t>Power BI can be used to convert the analyzed data into an interactive management dashboard. KPI cards, charts and slicers allow users to explore spending, savings, ROI, automation and project trends.</w:t>
      </w:r>
    </w:p>
    <w:p>
      <w:pPr>
        <w:spacing w:before="160" w:after="100"/>
        <w:jc w:val="left"/>
      </w:pPr>
      <w:r>
        <w:rPr>
          <w:rFonts w:ascii="Times New Roman" w:hAnsi="Times New Roman"/>
          <w:b/>
          <w:color w:val="000000"/>
          <w:sz w:val="26"/>
        </w:rPr>
        <w:t>6. Data Cleaning and Preprocessing</w:t>
      </w:r>
    </w:p>
    <w:p>
      <w:pPr>
        <w:jc w:val="both"/>
      </w:pPr>
      <w:r>
        <w:rPr>
          <w:rFonts w:ascii="Times New Roman" w:hAnsi="Times New Roman"/>
          <w:color w:val="000000"/>
          <w:sz w:val="22"/>
        </w:rPr>
        <w:t>Data cleaning was performed before analysis to improve data quality and consistency. The notebook checks the dataset shape, data types, missing values and duplicate records.</w:t>
      </w:r>
    </w:p>
    <w:p>
      <w:pPr>
        <w:pStyle w:val="ListBullet"/>
        <w:jc w:val="both"/>
      </w:pPr>
      <w:r>
        <w:rPr>
          <w:rFonts w:ascii="Times New Roman" w:hAnsi="Times New Roman"/>
          <w:color w:val="000000"/>
          <w:sz w:val="22"/>
        </w:rPr>
        <w:t>Checked the number of rows and columns.</w:t>
      </w:r>
    </w:p>
    <w:p>
      <w:pPr>
        <w:pStyle w:val="ListBullet"/>
        <w:jc w:val="both"/>
      </w:pPr>
      <w:r>
        <w:rPr>
          <w:rFonts w:ascii="Times New Roman" w:hAnsi="Times New Roman"/>
          <w:color w:val="000000"/>
          <w:sz w:val="22"/>
        </w:rPr>
        <w:t>Checked missing values in all columns.</w:t>
      </w:r>
    </w:p>
    <w:p>
      <w:pPr>
        <w:pStyle w:val="ListBullet"/>
        <w:jc w:val="both"/>
      </w:pPr>
      <w:r>
        <w:rPr>
          <w:rFonts w:ascii="Times New Roman" w:hAnsi="Times New Roman"/>
          <w:color w:val="000000"/>
          <w:sz w:val="22"/>
        </w:rPr>
        <w:t>Checked duplicate records.</w:t>
      </w:r>
    </w:p>
    <w:p>
      <w:pPr>
        <w:pStyle w:val="ListBullet"/>
        <w:jc w:val="both"/>
      </w:pPr>
      <w:r>
        <w:rPr>
          <w:rFonts w:ascii="Times New Roman" w:hAnsi="Times New Roman"/>
          <w:color w:val="000000"/>
          <w:sz w:val="22"/>
        </w:rPr>
        <w:t>Standardized column names by removing extra spaces and special characters.</w:t>
      </w:r>
    </w:p>
    <w:p>
      <w:pPr>
        <w:pStyle w:val="ListBullet"/>
        <w:jc w:val="both"/>
      </w:pPr>
      <w:r>
        <w:rPr>
          <w:rFonts w:ascii="Times New Roman" w:hAnsi="Times New Roman"/>
          <w:color w:val="000000"/>
          <w:sz w:val="22"/>
        </w:rPr>
        <w:t>Removed duplicate rows where present.</w:t>
      </w:r>
    </w:p>
    <w:p>
      <w:pPr>
        <w:pStyle w:val="ListBullet"/>
        <w:jc w:val="both"/>
      </w:pPr>
      <w:r>
        <w:rPr>
          <w:rFonts w:ascii="Times New Roman" w:hAnsi="Times New Roman"/>
          <w:color w:val="000000"/>
          <w:sz w:val="22"/>
        </w:rPr>
        <w:t>Trimmed leading and trailing spaces from text fields.</w:t>
      </w:r>
    </w:p>
    <w:p>
      <w:pPr>
        <w:pStyle w:val="ListBullet"/>
        <w:jc w:val="both"/>
      </w:pPr>
      <w:r>
        <w:rPr>
          <w:rFonts w:ascii="Times New Roman" w:hAnsi="Times New Roman"/>
          <w:color w:val="000000"/>
          <w:sz w:val="22"/>
        </w:rPr>
        <w:t>Converted numeric columns to appropriate numeric data types.</w:t>
      </w:r>
    </w:p>
    <w:p>
      <w:pPr>
        <w:pStyle w:val="ListBullet"/>
        <w:jc w:val="both"/>
      </w:pPr>
      <w:r>
        <w:rPr>
          <w:rFonts w:ascii="Times New Roman" w:hAnsi="Times New Roman"/>
          <w:color w:val="000000"/>
          <w:sz w:val="22"/>
        </w:rPr>
        <w:t>Validated the dataset after cleaning.</w:t>
      </w:r>
    </w:p>
    <w:p>
      <w:pPr>
        <w:jc w:val="both"/>
      </w:pPr>
      <w:r>
        <w:rPr>
          <w:rFonts w:ascii="Times New Roman" w:hAnsi="Times New Roman"/>
          <w:color w:val="000000"/>
          <w:sz w:val="22"/>
        </w:rPr>
        <w:t>The final cleaned dataset contains 72 records. In the supplied cleaned dataset, all 16 columns contain zero missing values and there are zero duplicate rows.</w:t>
      </w:r>
    </w:p>
    <w:p>
      <w:pPr>
        <w:spacing w:before="160" w:after="100"/>
        <w:jc w:val="left"/>
      </w:pPr>
      <w:r>
        <w:rPr>
          <w:rFonts w:ascii="Times New Roman" w:hAnsi="Times New Roman"/>
          <w:b/>
          <w:color w:val="000000"/>
          <w:sz w:val="26"/>
        </w:rPr>
        <w:t>7. Feature Engineering</w:t>
      </w:r>
    </w:p>
    <w:p>
      <w:pPr>
        <w:jc w:val="both"/>
      </w:pPr>
      <w:r>
        <w:rPr>
          <w:rFonts w:ascii="Times New Roman" w:hAnsi="Times New Roman"/>
          <w:color w:val="000000"/>
          <w:sz w:val="22"/>
        </w:rPr>
        <w:t>Feature engineering was used to create additional business indicators that are not directly available in the raw dataset.</w:t>
      </w:r>
    </w:p>
    <w:tbl>
      <w:tblPr>
        <w:tblStyle w:val="TableGrid"/>
        <w:tblW w:type="auto" w:w="0"/>
        <w:jc w:val="center"/>
        <w:tblLook w:firstColumn="1" w:firstRow="1" w:lastColumn="0" w:lastRow="0" w:noHBand="0" w:noVBand="1" w:val="04A0"/>
      </w:tblPr>
      <w:tblGrid>
        <w:gridCol w:w="5040"/>
        <w:gridCol w:w="5040"/>
      </w:tblGrid>
      <w:tr>
        <w:tc>
          <w:tcPr>
            <w:tcW w:type="dxa" w:w="5040"/>
            <w:shd w:fill="E7E6E6"/>
          </w:tcPr>
          <w:p>
            <w:r>
              <w:rPr>
                <w:rFonts w:ascii="Times New Roman" w:hAnsi="Times New Roman"/>
                <w:b/>
                <w:color w:val="000000"/>
                <w:sz w:val="21"/>
              </w:rPr>
              <w:t>Feature</w:t>
            </w:r>
          </w:p>
        </w:tc>
        <w:tc>
          <w:tcPr>
            <w:tcW w:type="dxa" w:w="5040"/>
            <w:shd w:fill="E7E6E6"/>
          </w:tcPr>
          <w:p>
            <w:r>
              <w:rPr>
                <w:rFonts w:ascii="Times New Roman" w:hAnsi="Times New Roman"/>
                <w:b/>
                <w:color w:val="000000"/>
                <w:sz w:val="21"/>
              </w:rPr>
              <w:t>Formula / Meaning</w:t>
            </w:r>
          </w:p>
        </w:tc>
      </w:tr>
      <w:tr>
        <w:tc>
          <w:tcPr>
            <w:tcW w:type="dxa" w:w="5040"/>
            <w:vAlign w:val="center"/>
          </w:tcPr>
          <w:p>
            <w:r>
              <w:rPr>
                <w:rFonts w:ascii="Times New Roman" w:hAnsi="Times New Roman"/>
                <w:color w:val="000000"/>
                <w:sz w:val="21"/>
              </w:rPr>
              <w:t>Net Benefit (USD Million)</w:t>
            </w:r>
          </w:p>
        </w:tc>
        <w:tc>
          <w:tcPr>
            <w:tcW w:type="dxa" w:w="5040"/>
            <w:vAlign w:val="center"/>
          </w:tcPr>
          <w:p>
            <w:r>
              <w:rPr>
                <w:rFonts w:ascii="Times New Roman" w:hAnsi="Times New Roman"/>
                <w:color w:val="000000"/>
                <w:sz w:val="21"/>
              </w:rPr>
              <w:t>Estimated Cost Savings − AI Spend</w:t>
            </w:r>
          </w:p>
        </w:tc>
      </w:tr>
      <w:tr>
        <w:tc>
          <w:tcPr>
            <w:tcW w:type="dxa" w:w="5040"/>
            <w:vAlign w:val="center"/>
          </w:tcPr>
          <w:p>
            <w:r>
              <w:rPr>
                <w:rFonts w:ascii="Times New Roman" w:hAnsi="Times New Roman"/>
                <w:color w:val="000000"/>
                <w:sz w:val="21"/>
              </w:rPr>
              <w:t>Savings-to-Spend Ratio</w:t>
            </w:r>
          </w:p>
        </w:tc>
        <w:tc>
          <w:tcPr>
            <w:tcW w:type="dxa" w:w="5040"/>
            <w:vAlign w:val="center"/>
          </w:tcPr>
          <w:p>
            <w:r>
              <w:rPr>
                <w:rFonts w:ascii="Times New Roman" w:hAnsi="Times New Roman"/>
                <w:color w:val="000000"/>
                <w:sz w:val="21"/>
              </w:rPr>
              <w:t>Estimated Cost Savings ÷ AI Spend</w:t>
            </w:r>
          </w:p>
        </w:tc>
      </w:tr>
      <w:tr>
        <w:tc>
          <w:tcPr>
            <w:tcW w:type="dxa" w:w="5040"/>
            <w:vAlign w:val="center"/>
          </w:tcPr>
          <w:p>
            <w:r>
              <w:rPr>
                <w:rFonts w:ascii="Times New Roman" w:hAnsi="Times New Roman"/>
                <w:color w:val="000000"/>
                <w:sz w:val="21"/>
              </w:rPr>
              <w:t>Total Impact Score</w:t>
            </w:r>
          </w:p>
        </w:tc>
        <w:tc>
          <w:tcPr>
            <w:tcW w:type="dxa" w:w="5040"/>
            <w:vAlign w:val="center"/>
          </w:tcPr>
          <w:p>
            <w:r>
              <w:rPr>
                <w:rFonts w:ascii="Times New Roman" w:hAnsi="Times New Roman"/>
                <w:color w:val="000000"/>
                <w:sz w:val="21"/>
              </w:rPr>
              <w:t>ROI × (1 + Automation Rate/100) × (1 + AI Projects/10)</w:t>
            </w:r>
          </w:p>
        </w:tc>
      </w:tr>
    </w:tbl>
    <w:p>
      <w:pPr>
        <w:jc w:val="both"/>
      </w:pPr>
    </w:p>
    <w:p>
      <w:pPr>
        <w:jc w:val="both"/>
      </w:pPr>
      <w:r>
        <w:rPr>
          <w:rFonts w:ascii="Times New Roman" w:hAnsi="Times New Roman"/>
          <w:color w:val="000000"/>
          <w:sz w:val="22"/>
        </w:rPr>
        <w:t>These derived metrics provide additional ways to evaluate whether AI investment is producing financial and operational impact.</w:t>
      </w:r>
    </w:p>
    <w:p>
      <w:pPr>
        <w:spacing w:before="160" w:after="100"/>
        <w:jc w:val="left"/>
      </w:pPr>
      <w:r>
        <w:rPr>
          <w:rFonts w:ascii="Times New Roman" w:hAnsi="Times New Roman"/>
          <w:b/>
          <w:color w:val="000000"/>
          <w:sz w:val="26"/>
        </w:rPr>
        <w:t>8. Exploratory Data Analysis</w:t>
      </w:r>
    </w:p>
    <w:p>
      <w:pPr>
        <w:jc w:val="both"/>
      </w:pPr>
      <w:r>
        <w:rPr>
          <w:rFonts w:ascii="Times New Roman" w:hAnsi="Times New Roman"/>
          <w:color w:val="000000"/>
          <w:sz w:val="22"/>
        </w:rPr>
        <w:t>Exploratory Data Analysis was performed using year, region, country, bank, AI use case, technology, maturity, AI spending, estimated savings, ROI, automation rate, FTE hours saved and AI project count.</w:t>
      </w:r>
    </w:p>
    <w:p>
      <w:pPr>
        <w:pStyle w:val="ListBullet"/>
        <w:jc w:val="both"/>
      </w:pPr>
      <w:r>
        <w:rPr>
          <w:rFonts w:ascii="Times New Roman" w:hAnsi="Times New Roman"/>
          <w:color w:val="000000"/>
          <w:sz w:val="22"/>
        </w:rPr>
        <w:t>Distribution of AI spending</w:t>
      </w:r>
    </w:p>
    <w:p>
      <w:pPr>
        <w:pStyle w:val="ListBullet"/>
        <w:jc w:val="both"/>
      </w:pPr>
      <w:r>
        <w:rPr>
          <w:rFonts w:ascii="Times New Roman" w:hAnsi="Times New Roman"/>
          <w:color w:val="000000"/>
          <w:sz w:val="22"/>
        </w:rPr>
        <w:t>Year-wise AI spending</w:t>
      </w:r>
    </w:p>
    <w:p>
      <w:pPr>
        <w:pStyle w:val="ListBullet"/>
        <w:jc w:val="both"/>
      </w:pPr>
      <w:r>
        <w:rPr>
          <w:rFonts w:ascii="Times New Roman" w:hAnsi="Times New Roman"/>
          <w:color w:val="000000"/>
          <w:sz w:val="22"/>
        </w:rPr>
        <w:t>Year-wise estimated cost savings</w:t>
      </w:r>
    </w:p>
    <w:p>
      <w:pPr>
        <w:pStyle w:val="ListBullet"/>
        <w:jc w:val="both"/>
      </w:pPr>
      <w:r>
        <w:rPr>
          <w:rFonts w:ascii="Times New Roman" w:hAnsi="Times New Roman"/>
          <w:color w:val="000000"/>
          <w:sz w:val="22"/>
        </w:rPr>
        <w:t>Region-wise AI spending</w:t>
      </w:r>
    </w:p>
    <w:p>
      <w:pPr>
        <w:pStyle w:val="ListBullet"/>
        <w:jc w:val="both"/>
      </w:pPr>
      <w:r>
        <w:rPr>
          <w:rFonts w:ascii="Times New Roman" w:hAnsi="Times New Roman"/>
          <w:color w:val="000000"/>
          <w:sz w:val="22"/>
        </w:rPr>
        <w:t>Country-wise AI spending</w:t>
      </w:r>
    </w:p>
    <w:p>
      <w:pPr>
        <w:pStyle w:val="ListBullet"/>
        <w:jc w:val="both"/>
      </w:pPr>
      <w:r>
        <w:rPr>
          <w:rFonts w:ascii="Times New Roman" w:hAnsi="Times New Roman"/>
          <w:color w:val="000000"/>
          <w:sz w:val="22"/>
        </w:rPr>
        <w:t>Technology-wise AI spending</w:t>
      </w:r>
    </w:p>
    <w:p>
      <w:pPr>
        <w:pStyle w:val="ListBullet"/>
        <w:jc w:val="both"/>
      </w:pPr>
      <w:r>
        <w:rPr>
          <w:rFonts w:ascii="Times New Roman" w:hAnsi="Times New Roman"/>
          <w:color w:val="000000"/>
          <w:sz w:val="22"/>
        </w:rPr>
        <w:t>AI projects by use case</w:t>
      </w:r>
    </w:p>
    <w:p>
      <w:pPr>
        <w:pStyle w:val="ListBullet"/>
        <w:jc w:val="both"/>
      </w:pPr>
      <w:r>
        <w:rPr>
          <w:rFonts w:ascii="Times New Roman" w:hAnsi="Times New Roman"/>
          <w:color w:val="000000"/>
          <w:sz w:val="22"/>
        </w:rPr>
        <w:t>Average ROI by technology</w:t>
      </w:r>
    </w:p>
    <w:p>
      <w:pPr>
        <w:pStyle w:val="ListBullet"/>
        <w:jc w:val="both"/>
      </w:pPr>
      <w:r>
        <w:rPr>
          <w:rFonts w:ascii="Times New Roman" w:hAnsi="Times New Roman"/>
          <w:color w:val="000000"/>
          <w:sz w:val="22"/>
        </w:rPr>
        <w:t>Average automation rate by maturity</w:t>
      </w:r>
    </w:p>
    <w:p>
      <w:pPr>
        <w:pStyle w:val="ListBullet"/>
        <w:jc w:val="both"/>
      </w:pPr>
      <w:r>
        <w:rPr>
          <w:rFonts w:ascii="Times New Roman" w:hAnsi="Times New Roman"/>
          <w:color w:val="000000"/>
          <w:sz w:val="22"/>
        </w:rPr>
        <w:t>Top banks by AI spending</w:t>
      </w:r>
    </w:p>
    <w:p>
      <w:pPr>
        <w:pStyle w:val="ListBullet"/>
        <w:jc w:val="both"/>
      </w:pPr>
      <w:r>
        <w:rPr>
          <w:rFonts w:ascii="Times New Roman" w:hAnsi="Times New Roman"/>
          <w:color w:val="000000"/>
          <w:sz w:val="22"/>
        </w:rPr>
        <w:t>Correlation between investment and impact metrics</w:t>
      </w:r>
    </w:p>
    <w:p>
      <w:pPr>
        <w:spacing w:before="160" w:after="100"/>
        <w:jc w:val="left"/>
      </w:pPr>
      <w:r>
        <w:rPr>
          <w:rFonts w:ascii="Times New Roman" w:hAnsi="Times New Roman"/>
          <w:b/>
          <w:color w:val="000000"/>
          <w:sz w:val="26"/>
        </w:rPr>
        <w:t>9. Year-wise AI Spending Analysis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E7E6E6"/>
          </w:tcPr>
          <w:p>
            <w:r>
              <w:rPr>
                <w:rFonts w:ascii="Times New Roman" w:hAnsi="Times New Roman"/>
                <w:b/>
                <w:color w:val="000000"/>
                <w:sz w:val="21"/>
              </w:rPr>
              <w:t>Year</w:t>
            </w:r>
          </w:p>
        </w:tc>
        <w:tc>
          <w:tcPr>
            <w:tcW w:type="dxa" w:w="2016"/>
            <w:shd w:fill="E7E6E6"/>
          </w:tcPr>
          <w:p>
            <w:r>
              <w:rPr>
                <w:rFonts w:ascii="Times New Roman" w:hAnsi="Times New Roman"/>
                <w:b/>
                <w:color w:val="000000"/>
                <w:sz w:val="21"/>
              </w:rPr>
              <w:t>AI Spend (USD M)</w:t>
            </w:r>
          </w:p>
        </w:tc>
        <w:tc>
          <w:tcPr>
            <w:tcW w:type="dxa" w:w="2016"/>
            <w:shd w:fill="E7E6E6"/>
          </w:tcPr>
          <w:p>
            <w:r>
              <w:rPr>
                <w:rFonts w:ascii="Times New Roman" w:hAnsi="Times New Roman"/>
                <w:b/>
                <w:color w:val="000000"/>
                <w:sz w:val="21"/>
              </w:rPr>
              <w:t>Savings (USD M)</w:t>
            </w:r>
          </w:p>
        </w:tc>
        <w:tc>
          <w:tcPr>
            <w:tcW w:type="dxa" w:w="2016"/>
            <w:shd w:fill="E7E6E6"/>
          </w:tcPr>
          <w:p>
            <w:r>
              <w:rPr>
                <w:rFonts w:ascii="Times New Roman" w:hAnsi="Times New Roman"/>
                <w:b/>
                <w:color w:val="000000"/>
                <w:sz w:val="21"/>
              </w:rPr>
              <w:t>Avg ROI</w:t>
            </w:r>
          </w:p>
        </w:tc>
        <w:tc>
          <w:tcPr>
            <w:tcW w:type="dxa" w:w="2016"/>
            <w:shd w:fill="E7E6E6"/>
          </w:tcPr>
          <w:p>
            <w:r>
              <w:rPr>
                <w:rFonts w:ascii="Times New Roman" w:hAnsi="Times New Roman"/>
                <w:b/>
                <w:color w:val="000000"/>
                <w:sz w:val="21"/>
              </w:rPr>
              <w:t>Avg Automation (%)</w:t>
            </w:r>
          </w:p>
        </w:tc>
      </w:tr>
      <w:tr>
        <w:tc>
          <w:tcPr>
            <w:tcW w:type="dxa" w:w="2016"/>
            <w:vAlign w:val="center"/>
          </w:tcPr>
          <w:p>
            <w:r>
              <w:rPr>
                <w:rFonts w:ascii="Times New Roman" w:hAnsi="Times New Roman"/>
                <w:color w:val="000000"/>
                <w:sz w:val="21"/>
              </w:rPr>
              <w:t>2020</w:t>
            </w:r>
          </w:p>
        </w:tc>
        <w:tc>
          <w:tcPr>
            <w:tcW w:type="dxa" w:w="2016"/>
            <w:vAlign w:val="center"/>
          </w:tcPr>
          <w:p>
            <w:r>
              <w:rPr>
                <w:rFonts w:ascii="Times New Roman" w:hAnsi="Times New Roman"/>
                <w:color w:val="000000"/>
                <w:sz w:val="21"/>
              </w:rPr>
              <w:t>25.00</w:t>
            </w:r>
          </w:p>
        </w:tc>
        <w:tc>
          <w:tcPr>
            <w:tcW w:type="dxa" w:w="2016"/>
            <w:vAlign w:val="center"/>
          </w:tcPr>
          <w:p>
            <w:r>
              <w:rPr>
                <w:rFonts w:ascii="Times New Roman" w:hAnsi="Times New Roman"/>
                <w:color w:val="000000"/>
                <w:sz w:val="21"/>
              </w:rPr>
              <w:t>24.52</w:t>
            </w:r>
          </w:p>
        </w:tc>
        <w:tc>
          <w:tcPr>
            <w:tcW w:type="dxa" w:w="2016"/>
            <w:vAlign w:val="center"/>
          </w:tcPr>
          <w:p>
            <w:r>
              <w:rPr>
                <w:rFonts w:ascii="Times New Roman" w:hAnsi="Times New Roman"/>
                <w:color w:val="000000"/>
                <w:sz w:val="21"/>
              </w:rPr>
              <w:t>2.87</w:t>
            </w:r>
          </w:p>
        </w:tc>
        <w:tc>
          <w:tcPr>
            <w:tcW w:type="dxa" w:w="2016"/>
            <w:vAlign w:val="center"/>
          </w:tcPr>
          <w:p>
            <w:r>
              <w:rPr>
                <w:rFonts w:ascii="Times New Roman" w:hAnsi="Times New Roman"/>
                <w:color w:val="000000"/>
                <w:sz w:val="21"/>
              </w:rPr>
              <w:t>52.33</w:t>
            </w:r>
          </w:p>
        </w:tc>
      </w:tr>
      <w:tr>
        <w:tc>
          <w:tcPr>
            <w:tcW w:type="dxa" w:w="2016"/>
            <w:vAlign w:val="center"/>
          </w:tcPr>
          <w:p>
            <w:r>
              <w:rPr>
                <w:rFonts w:ascii="Times New Roman" w:hAnsi="Times New Roman"/>
                <w:color w:val="000000"/>
                <w:sz w:val="21"/>
              </w:rPr>
              <w:t>2021</w:t>
            </w:r>
          </w:p>
        </w:tc>
        <w:tc>
          <w:tcPr>
            <w:tcW w:type="dxa" w:w="2016"/>
            <w:vAlign w:val="center"/>
          </w:tcPr>
          <w:p>
            <w:r>
              <w:rPr>
                <w:rFonts w:ascii="Times New Roman" w:hAnsi="Times New Roman"/>
                <w:color w:val="000000"/>
                <w:sz w:val="21"/>
              </w:rPr>
              <w:t>31.90</w:t>
            </w:r>
          </w:p>
        </w:tc>
        <w:tc>
          <w:tcPr>
            <w:tcW w:type="dxa" w:w="2016"/>
            <w:vAlign w:val="center"/>
          </w:tcPr>
          <w:p>
            <w:r>
              <w:rPr>
                <w:rFonts w:ascii="Times New Roman" w:hAnsi="Times New Roman"/>
                <w:color w:val="000000"/>
                <w:sz w:val="21"/>
              </w:rPr>
              <w:t>35.16</w:t>
            </w:r>
          </w:p>
        </w:tc>
        <w:tc>
          <w:tcPr>
            <w:tcW w:type="dxa" w:w="2016"/>
            <w:vAlign w:val="center"/>
          </w:tcPr>
          <w:p>
            <w:r>
              <w:rPr>
                <w:rFonts w:ascii="Times New Roman" w:hAnsi="Times New Roman"/>
                <w:color w:val="000000"/>
                <w:sz w:val="21"/>
              </w:rPr>
              <w:t>3.40</w:t>
            </w:r>
          </w:p>
        </w:tc>
        <w:tc>
          <w:tcPr>
            <w:tcW w:type="dxa" w:w="2016"/>
            <w:vAlign w:val="center"/>
          </w:tcPr>
          <w:p>
            <w:r>
              <w:rPr>
                <w:rFonts w:ascii="Times New Roman" w:hAnsi="Times New Roman"/>
                <w:color w:val="000000"/>
                <w:sz w:val="21"/>
              </w:rPr>
              <w:t>50.31</w:t>
            </w:r>
          </w:p>
        </w:tc>
      </w:tr>
      <w:tr>
        <w:tc>
          <w:tcPr>
            <w:tcW w:type="dxa" w:w="2016"/>
            <w:vAlign w:val="center"/>
          </w:tcPr>
          <w:p>
            <w:r>
              <w:rPr>
                <w:rFonts w:ascii="Times New Roman" w:hAnsi="Times New Roman"/>
                <w:color w:val="000000"/>
                <w:sz w:val="21"/>
              </w:rPr>
              <w:t>2022</w:t>
            </w:r>
          </w:p>
        </w:tc>
        <w:tc>
          <w:tcPr>
            <w:tcW w:type="dxa" w:w="2016"/>
            <w:vAlign w:val="center"/>
          </w:tcPr>
          <w:p>
            <w:r>
              <w:rPr>
                <w:rFonts w:ascii="Times New Roman" w:hAnsi="Times New Roman"/>
                <w:color w:val="000000"/>
                <w:sz w:val="21"/>
              </w:rPr>
              <w:t>58.76</w:t>
            </w:r>
          </w:p>
        </w:tc>
        <w:tc>
          <w:tcPr>
            <w:tcW w:type="dxa" w:w="2016"/>
            <w:vAlign w:val="center"/>
          </w:tcPr>
          <w:p>
            <w:r>
              <w:rPr>
                <w:rFonts w:ascii="Times New Roman" w:hAnsi="Times New Roman"/>
                <w:color w:val="000000"/>
                <w:sz w:val="21"/>
              </w:rPr>
              <w:t>62.20</w:t>
            </w:r>
          </w:p>
        </w:tc>
        <w:tc>
          <w:tcPr>
            <w:tcW w:type="dxa" w:w="2016"/>
            <w:vAlign w:val="center"/>
          </w:tcPr>
          <w:p>
            <w:r>
              <w:rPr>
                <w:rFonts w:ascii="Times New Roman" w:hAnsi="Times New Roman"/>
                <w:color w:val="000000"/>
                <w:sz w:val="21"/>
              </w:rPr>
              <w:t>3.01</w:t>
            </w:r>
          </w:p>
        </w:tc>
        <w:tc>
          <w:tcPr>
            <w:tcW w:type="dxa" w:w="2016"/>
            <w:vAlign w:val="center"/>
          </w:tcPr>
          <w:p>
            <w:r>
              <w:rPr>
                <w:rFonts w:ascii="Times New Roman" w:hAnsi="Times New Roman"/>
                <w:color w:val="000000"/>
                <w:sz w:val="21"/>
              </w:rPr>
              <w:t>43.28</w:t>
            </w:r>
          </w:p>
        </w:tc>
      </w:tr>
      <w:tr>
        <w:tc>
          <w:tcPr>
            <w:tcW w:type="dxa" w:w="2016"/>
            <w:vAlign w:val="center"/>
          </w:tcPr>
          <w:p>
            <w:r>
              <w:rPr>
                <w:rFonts w:ascii="Times New Roman" w:hAnsi="Times New Roman"/>
                <w:color w:val="000000"/>
                <w:sz w:val="21"/>
              </w:rPr>
              <w:t>2023</w:t>
            </w:r>
          </w:p>
        </w:tc>
        <w:tc>
          <w:tcPr>
            <w:tcW w:type="dxa" w:w="2016"/>
            <w:vAlign w:val="center"/>
          </w:tcPr>
          <w:p>
            <w:r>
              <w:rPr>
                <w:rFonts w:ascii="Times New Roman" w:hAnsi="Times New Roman"/>
                <w:color w:val="000000"/>
                <w:sz w:val="21"/>
              </w:rPr>
              <w:t>64.16</w:t>
            </w:r>
          </w:p>
        </w:tc>
        <w:tc>
          <w:tcPr>
            <w:tcW w:type="dxa" w:w="2016"/>
            <w:vAlign w:val="center"/>
          </w:tcPr>
          <w:p>
            <w:r>
              <w:rPr>
                <w:rFonts w:ascii="Times New Roman" w:hAnsi="Times New Roman"/>
                <w:color w:val="000000"/>
                <w:sz w:val="21"/>
              </w:rPr>
              <w:t>50.81</w:t>
            </w:r>
          </w:p>
        </w:tc>
        <w:tc>
          <w:tcPr>
            <w:tcW w:type="dxa" w:w="2016"/>
            <w:vAlign w:val="center"/>
          </w:tcPr>
          <w:p>
            <w:r>
              <w:rPr>
                <w:rFonts w:ascii="Times New Roman" w:hAnsi="Times New Roman"/>
                <w:color w:val="000000"/>
                <w:sz w:val="21"/>
              </w:rPr>
              <w:t>2.54</w:t>
            </w:r>
          </w:p>
        </w:tc>
        <w:tc>
          <w:tcPr>
            <w:tcW w:type="dxa" w:w="2016"/>
            <w:vAlign w:val="center"/>
          </w:tcPr>
          <w:p>
            <w:r>
              <w:rPr>
                <w:rFonts w:ascii="Times New Roman" w:hAnsi="Times New Roman"/>
                <w:color w:val="000000"/>
                <w:sz w:val="21"/>
              </w:rPr>
              <w:t>45.85</w:t>
            </w:r>
          </w:p>
        </w:tc>
      </w:tr>
      <w:tr>
        <w:tc>
          <w:tcPr>
            <w:tcW w:type="dxa" w:w="2016"/>
            <w:vAlign w:val="center"/>
          </w:tcPr>
          <w:p>
            <w:r>
              <w:rPr>
                <w:rFonts w:ascii="Times New Roman" w:hAnsi="Times New Roman"/>
                <w:color w:val="000000"/>
                <w:sz w:val="21"/>
              </w:rPr>
              <w:t>2024</w:t>
            </w:r>
          </w:p>
        </w:tc>
        <w:tc>
          <w:tcPr>
            <w:tcW w:type="dxa" w:w="2016"/>
            <w:vAlign w:val="center"/>
          </w:tcPr>
          <w:p>
            <w:r>
              <w:rPr>
                <w:rFonts w:ascii="Times New Roman" w:hAnsi="Times New Roman"/>
                <w:color w:val="000000"/>
                <w:sz w:val="21"/>
              </w:rPr>
              <w:t>91.98</w:t>
            </w:r>
          </w:p>
        </w:tc>
        <w:tc>
          <w:tcPr>
            <w:tcW w:type="dxa" w:w="2016"/>
            <w:vAlign w:val="center"/>
          </w:tcPr>
          <w:p>
            <w:r>
              <w:rPr>
                <w:rFonts w:ascii="Times New Roman" w:hAnsi="Times New Roman"/>
                <w:color w:val="000000"/>
                <w:sz w:val="21"/>
              </w:rPr>
              <w:t>101.27</w:t>
            </w:r>
          </w:p>
        </w:tc>
        <w:tc>
          <w:tcPr>
            <w:tcW w:type="dxa" w:w="2016"/>
            <w:vAlign w:val="center"/>
          </w:tcPr>
          <w:p>
            <w:r>
              <w:rPr>
                <w:rFonts w:ascii="Times New Roman" w:hAnsi="Times New Roman"/>
                <w:color w:val="000000"/>
                <w:sz w:val="21"/>
              </w:rPr>
              <w:t>3.14</w:t>
            </w:r>
          </w:p>
        </w:tc>
        <w:tc>
          <w:tcPr>
            <w:tcW w:type="dxa" w:w="2016"/>
            <w:vAlign w:val="center"/>
          </w:tcPr>
          <w:p>
            <w:r>
              <w:rPr>
                <w:rFonts w:ascii="Times New Roman" w:hAnsi="Times New Roman"/>
                <w:color w:val="000000"/>
                <w:sz w:val="21"/>
              </w:rPr>
              <w:t>50.77</w:t>
            </w:r>
          </w:p>
        </w:tc>
      </w:tr>
      <w:tr>
        <w:tc>
          <w:tcPr>
            <w:tcW w:type="dxa" w:w="2016"/>
            <w:vAlign w:val="center"/>
          </w:tcPr>
          <w:p>
            <w:r>
              <w:rPr>
                <w:rFonts w:ascii="Times New Roman" w:hAnsi="Times New Roman"/>
                <w:color w:val="000000"/>
                <w:sz w:val="21"/>
              </w:rPr>
              <w:t>2025</w:t>
            </w:r>
          </w:p>
        </w:tc>
        <w:tc>
          <w:tcPr>
            <w:tcW w:type="dxa" w:w="2016"/>
            <w:vAlign w:val="center"/>
          </w:tcPr>
          <w:p>
            <w:r>
              <w:rPr>
                <w:rFonts w:ascii="Times New Roman" w:hAnsi="Times New Roman"/>
                <w:color w:val="000000"/>
                <w:sz w:val="21"/>
              </w:rPr>
              <w:t>123.51</w:t>
            </w:r>
          </w:p>
        </w:tc>
        <w:tc>
          <w:tcPr>
            <w:tcW w:type="dxa" w:w="2016"/>
            <w:vAlign w:val="center"/>
          </w:tcPr>
          <w:p>
            <w:r>
              <w:rPr>
                <w:rFonts w:ascii="Times New Roman" w:hAnsi="Times New Roman"/>
                <w:color w:val="000000"/>
                <w:sz w:val="21"/>
              </w:rPr>
              <w:t>129.41</w:t>
            </w:r>
          </w:p>
        </w:tc>
        <w:tc>
          <w:tcPr>
            <w:tcW w:type="dxa" w:w="2016"/>
            <w:vAlign w:val="center"/>
          </w:tcPr>
          <w:p>
            <w:r>
              <w:rPr>
                <w:rFonts w:ascii="Times New Roman" w:hAnsi="Times New Roman"/>
                <w:color w:val="000000"/>
                <w:sz w:val="21"/>
              </w:rPr>
              <w:t>3.24</w:t>
            </w:r>
          </w:p>
        </w:tc>
        <w:tc>
          <w:tcPr>
            <w:tcW w:type="dxa" w:w="2016"/>
            <w:vAlign w:val="center"/>
          </w:tcPr>
          <w:p>
            <w:r>
              <w:rPr>
                <w:rFonts w:ascii="Times New Roman" w:hAnsi="Times New Roman"/>
                <w:color w:val="000000"/>
                <w:sz w:val="21"/>
              </w:rPr>
              <w:t>47.07</w:t>
            </w:r>
          </w:p>
        </w:tc>
      </w:tr>
    </w:tbl>
    <w:p>
      <w:pPr>
        <w:jc w:val="both"/>
      </w:pPr>
    </w:p>
    <w:p>
      <w:pPr>
        <w:jc w:val="both"/>
      </w:pPr>
      <w:r>
        <w:rPr>
          <w:rFonts w:ascii="Times New Roman" w:hAnsi="Times New Roman"/>
          <w:color w:val="000000"/>
          <w:sz w:val="22"/>
        </w:rPr>
        <w:t>The dataset shows a clear increase in total AI spending over the study period. Spending rises from USD 25.00 million in 2020 to USD 123.51 million in 2025, the highest value in the supplied dataset. Estimated cost savings also reach their highest value in 2025 at USD 129.41 million.</w:t>
      </w:r>
    </w:p>
    <w:p>
      <w:pPr>
        <w:spacing w:before="160" w:after="100"/>
        <w:jc w:val="left"/>
      </w:pPr>
      <w:r>
        <w:rPr>
          <w:rFonts w:ascii="Times New Roman" w:hAnsi="Times New Roman"/>
          <w:b/>
          <w:color w:val="000000"/>
          <w:sz w:val="26"/>
        </w:rPr>
        <w:t>10. Region-wise Analysis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E7E6E6"/>
          </w:tcPr>
          <w:p>
            <w:r>
              <w:rPr>
                <w:rFonts w:ascii="Times New Roman" w:hAnsi="Times New Roman"/>
                <w:b/>
                <w:color w:val="000000"/>
                <w:sz w:val="21"/>
              </w:rPr>
              <w:t>Region</w:t>
            </w:r>
          </w:p>
        </w:tc>
        <w:tc>
          <w:tcPr>
            <w:tcW w:type="dxa" w:w="2016"/>
            <w:shd w:fill="E7E6E6"/>
          </w:tcPr>
          <w:p>
            <w:r>
              <w:rPr>
                <w:rFonts w:ascii="Times New Roman" w:hAnsi="Times New Roman"/>
                <w:b/>
                <w:color w:val="000000"/>
                <w:sz w:val="21"/>
              </w:rPr>
              <w:t>Records</w:t>
            </w:r>
          </w:p>
        </w:tc>
        <w:tc>
          <w:tcPr>
            <w:tcW w:type="dxa" w:w="2016"/>
            <w:shd w:fill="E7E6E6"/>
          </w:tcPr>
          <w:p>
            <w:r>
              <w:rPr>
                <w:rFonts w:ascii="Times New Roman" w:hAnsi="Times New Roman"/>
                <w:b/>
                <w:color w:val="000000"/>
                <w:sz w:val="21"/>
              </w:rPr>
              <w:t>AI Spend (USD M)</w:t>
            </w:r>
          </w:p>
        </w:tc>
        <w:tc>
          <w:tcPr>
            <w:tcW w:type="dxa" w:w="2016"/>
            <w:shd w:fill="E7E6E6"/>
          </w:tcPr>
          <w:p>
            <w:r>
              <w:rPr>
                <w:rFonts w:ascii="Times New Roman" w:hAnsi="Times New Roman"/>
                <w:b/>
                <w:color w:val="000000"/>
                <w:sz w:val="21"/>
              </w:rPr>
              <w:t>Savings (USD M)</w:t>
            </w:r>
          </w:p>
        </w:tc>
        <w:tc>
          <w:tcPr>
            <w:tcW w:type="dxa" w:w="2016"/>
            <w:shd w:fill="E7E6E6"/>
          </w:tcPr>
          <w:p>
            <w:r>
              <w:rPr>
                <w:rFonts w:ascii="Times New Roman" w:hAnsi="Times New Roman"/>
                <w:b/>
                <w:color w:val="000000"/>
                <w:sz w:val="21"/>
              </w:rPr>
              <w:t>Avg ROI</w:t>
            </w:r>
          </w:p>
        </w:tc>
      </w:tr>
      <w:tr>
        <w:tc>
          <w:tcPr>
            <w:tcW w:type="dxa" w:w="2016"/>
            <w:vAlign w:val="center"/>
          </w:tcPr>
          <w:p>
            <w:r>
              <w:rPr>
                <w:rFonts w:ascii="Times New Roman" w:hAnsi="Times New Roman"/>
                <w:color w:val="000000"/>
                <w:sz w:val="21"/>
              </w:rPr>
              <w:t>Europe</w:t>
            </w:r>
          </w:p>
        </w:tc>
        <w:tc>
          <w:tcPr>
            <w:tcW w:type="dxa" w:w="2016"/>
            <w:vAlign w:val="center"/>
          </w:tcPr>
          <w:p>
            <w:r>
              <w:rPr>
                <w:rFonts w:ascii="Times New Roman" w:hAnsi="Times New Roman"/>
                <w:color w:val="000000"/>
                <w:sz w:val="21"/>
              </w:rPr>
              <w:t>24</w:t>
            </w:r>
          </w:p>
        </w:tc>
        <w:tc>
          <w:tcPr>
            <w:tcW w:type="dxa" w:w="2016"/>
            <w:vAlign w:val="center"/>
          </w:tcPr>
          <w:p>
            <w:r>
              <w:rPr>
                <w:rFonts w:ascii="Times New Roman" w:hAnsi="Times New Roman"/>
                <w:color w:val="000000"/>
                <w:sz w:val="21"/>
              </w:rPr>
              <w:t>163.90</w:t>
            </w:r>
          </w:p>
        </w:tc>
        <w:tc>
          <w:tcPr>
            <w:tcW w:type="dxa" w:w="2016"/>
            <w:vAlign w:val="center"/>
          </w:tcPr>
          <w:p>
            <w:r>
              <w:rPr>
                <w:rFonts w:ascii="Times New Roman" w:hAnsi="Times New Roman"/>
                <w:color w:val="000000"/>
                <w:sz w:val="21"/>
              </w:rPr>
              <w:t>168.84</w:t>
            </w:r>
          </w:p>
        </w:tc>
        <w:tc>
          <w:tcPr>
            <w:tcW w:type="dxa" w:w="2016"/>
            <w:vAlign w:val="center"/>
          </w:tcPr>
          <w:p>
            <w:r>
              <w:rPr>
                <w:rFonts w:ascii="Times New Roman" w:hAnsi="Times New Roman"/>
                <w:color w:val="000000"/>
                <w:sz w:val="21"/>
              </w:rPr>
              <w:t>3.05</w:t>
            </w:r>
          </w:p>
        </w:tc>
      </w:tr>
      <w:tr>
        <w:tc>
          <w:tcPr>
            <w:tcW w:type="dxa" w:w="2016"/>
            <w:vAlign w:val="center"/>
          </w:tcPr>
          <w:p>
            <w:r>
              <w:rPr>
                <w:rFonts w:ascii="Times New Roman" w:hAnsi="Times New Roman"/>
                <w:color w:val="000000"/>
                <w:sz w:val="21"/>
              </w:rPr>
              <w:t>Asia-Pacific</w:t>
            </w:r>
          </w:p>
        </w:tc>
        <w:tc>
          <w:tcPr>
            <w:tcW w:type="dxa" w:w="2016"/>
            <w:vAlign w:val="center"/>
          </w:tcPr>
          <w:p>
            <w:r>
              <w:rPr>
                <w:rFonts w:ascii="Times New Roman" w:hAnsi="Times New Roman"/>
                <w:color w:val="000000"/>
                <w:sz w:val="21"/>
              </w:rPr>
              <w:t>24</w:t>
            </w:r>
          </w:p>
        </w:tc>
        <w:tc>
          <w:tcPr>
            <w:tcW w:type="dxa" w:w="2016"/>
            <w:vAlign w:val="center"/>
          </w:tcPr>
          <w:p>
            <w:r>
              <w:rPr>
                <w:rFonts w:ascii="Times New Roman" w:hAnsi="Times New Roman"/>
                <w:color w:val="000000"/>
                <w:sz w:val="21"/>
              </w:rPr>
              <w:t>112.90</w:t>
            </w:r>
          </w:p>
        </w:tc>
        <w:tc>
          <w:tcPr>
            <w:tcW w:type="dxa" w:w="2016"/>
            <w:vAlign w:val="center"/>
          </w:tcPr>
          <w:p>
            <w:r>
              <w:rPr>
                <w:rFonts w:ascii="Times New Roman" w:hAnsi="Times New Roman"/>
                <w:color w:val="000000"/>
                <w:sz w:val="21"/>
              </w:rPr>
              <w:t>107.81</w:t>
            </w:r>
          </w:p>
        </w:tc>
        <w:tc>
          <w:tcPr>
            <w:tcW w:type="dxa" w:w="2016"/>
            <w:vAlign w:val="center"/>
          </w:tcPr>
          <w:p>
            <w:r>
              <w:rPr>
                <w:rFonts w:ascii="Times New Roman" w:hAnsi="Times New Roman"/>
                <w:color w:val="000000"/>
                <w:sz w:val="21"/>
              </w:rPr>
              <w:t>2.96</w:t>
            </w:r>
          </w:p>
        </w:tc>
      </w:tr>
      <w:tr>
        <w:tc>
          <w:tcPr>
            <w:tcW w:type="dxa" w:w="2016"/>
            <w:vAlign w:val="center"/>
          </w:tcPr>
          <w:p>
            <w:r>
              <w:rPr>
                <w:rFonts w:ascii="Times New Roman" w:hAnsi="Times New Roman"/>
                <w:color w:val="000000"/>
                <w:sz w:val="21"/>
              </w:rPr>
              <w:t>North America</w:t>
            </w:r>
          </w:p>
        </w:tc>
        <w:tc>
          <w:tcPr>
            <w:tcW w:type="dxa" w:w="2016"/>
            <w:vAlign w:val="center"/>
          </w:tcPr>
          <w:p>
            <w:r>
              <w:rPr>
                <w:rFonts w:ascii="Times New Roman" w:hAnsi="Times New Roman"/>
                <w:color w:val="000000"/>
                <w:sz w:val="21"/>
              </w:rPr>
              <w:t>12</w:t>
            </w:r>
          </w:p>
        </w:tc>
        <w:tc>
          <w:tcPr>
            <w:tcW w:type="dxa" w:w="2016"/>
            <w:vAlign w:val="center"/>
          </w:tcPr>
          <w:p>
            <w:r>
              <w:rPr>
                <w:rFonts w:ascii="Times New Roman" w:hAnsi="Times New Roman"/>
                <w:color w:val="000000"/>
                <w:sz w:val="21"/>
              </w:rPr>
              <w:t>93.11</w:t>
            </w:r>
          </w:p>
        </w:tc>
        <w:tc>
          <w:tcPr>
            <w:tcW w:type="dxa" w:w="2016"/>
            <w:vAlign w:val="center"/>
          </w:tcPr>
          <w:p>
            <w:r>
              <w:rPr>
                <w:rFonts w:ascii="Times New Roman" w:hAnsi="Times New Roman"/>
                <w:color w:val="000000"/>
                <w:sz w:val="21"/>
              </w:rPr>
              <w:t>97.77</w:t>
            </w:r>
          </w:p>
        </w:tc>
        <w:tc>
          <w:tcPr>
            <w:tcW w:type="dxa" w:w="2016"/>
            <w:vAlign w:val="center"/>
          </w:tcPr>
          <w:p>
            <w:r>
              <w:rPr>
                <w:rFonts w:ascii="Times New Roman" w:hAnsi="Times New Roman"/>
                <w:color w:val="000000"/>
                <w:sz w:val="21"/>
              </w:rPr>
              <w:t>2.96</w:t>
            </w:r>
          </w:p>
        </w:tc>
      </w:tr>
      <w:tr>
        <w:tc>
          <w:tcPr>
            <w:tcW w:type="dxa" w:w="2016"/>
            <w:vAlign w:val="center"/>
          </w:tcPr>
          <w:p>
            <w:r>
              <w:rPr>
                <w:rFonts w:ascii="Times New Roman" w:hAnsi="Times New Roman"/>
                <w:color w:val="000000"/>
                <w:sz w:val="21"/>
              </w:rPr>
              <w:t>Middle East</w:t>
            </w:r>
          </w:p>
        </w:tc>
        <w:tc>
          <w:tcPr>
            <w:tcW w:type="dxa" w:w="2016"/>
            <w:vAlign w:val="center"/>
          </w:tcPr>
          <w:p>
            <w:r>
              <w:rPr>
                <w:rFonts w:ascii="Times New Roman" w:hAnsi="Times New Roman"/>
                <w:color w:val="000000"/>
                <w:sz w:val="21"/>
              </w:rPr>
              <w:t>12</w:t>
            </w:r>
          </w:p>
        </w:tc>
        <w:tc>
          <w:tcPr>
            <w:tcW w:type="dxa" w:w="2016"/>
            <w:vAlign w:val="center"/>
          </w:tcPr>
          <w:p>
            <w:r>
              <w:rPr>
                <w:rFonts w:ascii="Times New Roman" w:hAnsi="Times New Roman"/>
                <w:color w:val="000000"/>
                <w:sz w:val="21"/>
              </w:rPr>
              <w:t>25.40</w:t>
            </w:r>
          </w:p>
        </w:tc>
        <w:tc>
          <w:tcPr>
            <w:tcW w:type="dxa" w:w="2016"/>
            <w:vAlign w:val="center"/>
          </w:tcPr>
          <w:p>
            <w:r>
              <w:rPr>
                <w:rFonts w:ascii="Times New Roman" w:hAnsi="Times New Roman"/>
                <w:color w:val="000000"/>
                <w:sz w:val="21"/>
              </w:rPr>
              <w:t>28.95</w:t>
            </w:r>
          </w:p>
        </w:tc>
        <w:tc>
          <w:tcPr>
            <w:tcW w:type="dxa" w:w="2016"/>
            <w:vAlign w:val="center"/>
          </w:tcPr>
          <w:p>
            <w:r>
              <w:rPr>
                <w:rFonts w:ascii="Times New Roman" w:hAnsi="Times New Roman"/>
                <w:color w:val="000000"/>
                <w:sz w:val="21"/>
              </w:rPr>
              <w:t>3.21</w:t>
            </w:r>
          </w:p>
        </w:tc>
      </w:tr>
    </w:tbl>
    <w:p>
      <w:pPr>
        <w:jc w:val="both"/>
      </w:pPr>
    </w:p>
    <w:p>
      <w:pPr>
        <w:jc w:val="both"/>
      </w:pPr>
      <w:r>
        <w:rPr>
          <w:rFonts w:ascii="Times New Roman" w:hAnsi="Times New Roman"/>
          <w:color w:val="000000"/>
          <w:sz w:val="22"/>
        </w:rPr>
        <w:t>Europe has the highest recorded AI spending in the project dataset at USD 163.90 million, followed by Asia-Pacific at USD 112.90 million. These values describe the records included in this project and should not be interpreted as official regional banking investment statistics.</w:t>
      </w:r>
    </w:p>
    <w:p>
      <w:pPr>
        <w:spacing w:before="160" w:after="100"/>
        <w:jc w:val="left"/>
      </w:pPr>
      <w:r>
        <w:rPr>
          <w:rFonts w:ascii="Times New Roman" w:hAnsi="Times New Roman"/>
          <w:b/>
          <w:color w:val="000000"/>
          <w:sz w:val="26"/>
        </w:rPr>
        <w:t>11. Country-wise Analysis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E7E6E6"/>
          </w:tcPr>
          <w:p>
            <w:r>
              <w:rPr>
                <w:rFonts w:ascii="Times New Roman" w:hAnsi="Times New Roman"/>
                <w:b/>
                <w:color w:val="000000"/>
                <w:sz w:val="21"/>
              </w:rPr>
              <w:t>Country</w:t>
            </w:r>
          </w:p>
        </w:tc>
        <w:tc>
          <w:tcPr>
            <w:tcW w:type="dxa" w:w="2016"/>
            <w:shd w:fill="E7E6E6"/>
          </w:tcPr>
          <w:p>
            <w:r>
              <w:rPr>
                <w:rFonts w:ascii="Times New Roman" w:hAnsi="Times New Roman"/>
                <w:b/>
                <w:color w:val="000000"/>
                <w:sz w:val="21"/>
              </w:rPr>
              <w:t>Records</w:t>
            </w:r>
          </w:p>
        </w:tc>
        <w:tc>
          <w:tcPr>
            <w:tcW w:type="dxa" w:w="2016"/>
            <w:shd w:fill="E7E6E6"/>
          </w:tcPr>
          <w:p>
            <w:r>
              <w:rPr>
                <w:rFonts w:ascii="Times New Roman" w:hAnsi="Times New Roman"/>
                <w:b/>
                <w:color w:val="000000"/>
                <w:sz w:val="21"/>
              </w:rPr>
              <w:t>AI Spend (USD M)</w:t>
            </w:r>
          </w:p>
        </w:tc>
        <w:tc>
          <w:tcPr>
            <w:tcW w:type="dxa" w:w="2016"/>
            <w:shd w:fill="E7E6E6"/>
          </w:tcPr>
          <w:p>
            <w:r>
              <w:rPr>
                <w:rFonts w:ascii="Times New Roman" w:hAnsi="Times New Roman"/>
                <w:b/>
                <w:color w:val="000000"/>
                <w:sz w:val="21"/>
              </w:rPr>
              <w:t>Savings (USD M)</w:t>
            </w:r>
          </w:p>
        </w:tc>
        <w:tc>
          <w:tcPr>
            <w:tcW w:type="dxa" w:w="2016"/>
            <w:shd w:fill="E7E6E6"/>
          </w:tcPr>
          <w:p>
            <w:r>
              <w:rPr>
                <w:rFonts w:ascii="Times New Roman" w:hAnsi="Times New Roman"/>
                <w:b/>
                <w:color w:val="000000"/>
                <w:sz w:val="21"/>
              </w:rPr>
              <w:t>Avg ROI</w:t>
            </w:r>
          </w:p>
        </w:tc>
      </w:tr>
      <w:tr>
        <w:tc>
          <w:tcPr>
            <w:tcW w:type="dxa" w:w="2016"/>
            <w:vAlign w:val="center"/>
          </w:tcPr>
          <w:p>
            <w:r>
              <w:rPr>
                <w:rFonts w:ascii="Times New Roman" w:hAnsi="Times New Roman"/>
                <w:color w:val="000000"/>
                <w:sz w:val="21"/>
              </w:rPr>
              <w:t>Canada</w:t>
            </w:r>
          </w:p>
        </w:tc>
        <w:tc>
          <w:tcPr>
            <w:tcW w:type="dxa" w:w="2016"/>
            <w:vAlign w:val="center"/>
          </w:tcPr>
          <w:p>
            <w:r>
              <w:rPr>
                <w:rFonts w:ascii="Times New Roman" w:hAnsi="Times New Roman"/>
                <w:color w:val="000000"/>
                <w:sz w:val="21"/>
              </w:rPr>
              <w:t>6</w:t>
            </w:r>
          </w:p>
        </w:tc>
        <w:tc>
          <w:tcPr>
            <w:tcW w:type="dxa" w:w="2016"/>
            <w:vAlign w:val="center"/>
          </w:tcPr>
          <w:p>
            <w:r>
              <w:rPr>
                <w:rFonts w:ascii="Times New Roman" w:hAnsi="Times New Roman"/>
                <w:color w:val="000000"/>
                <w:sz w:val="21"/>
              </w:rPr>
              <w:t>46.57</w:t>
            </w:r>
          </w:p>
        </w:tc>
        <w:tc>
          <w:tcPr>
            <w:tcW w:type="dxa" w:w="2016"/>
            <w:vAlign w:val="center"/>
          </w:tcPr>
          <w:p>
            <w:r>
              <w:rPr>
                <w:rFonts w:ascii="Times New Roman" w:hAnsi="Times New Roman"/>
                <w:color w:val="000000"/>
                <w:sz w:val="21"/>
              </w:rPr>
              <w:t>39.72</w:t>
            </w:r>
          </w:p>
        </w:tc>
        <w:tc>
          <w:tcPr>
            <w:tcW w:type="dxa" w:w="2016"/>
            <w:vAlign w:val="center"/>
          </w:tcPr>
          <w:p>
            <w:r>
              <w:rPr>
                <w:rFonts w:ascii="Times New Roman" w:hAnsi="Times New Roman"/>
                <w:color w:val="000000"/>
                <w:sz w:val="21"/>
              </w:rPr>
              <w:t>2.82</w:t>
            </w:r>
          </w:p>
        </w:tc>
      </w:tr>
      <w:tr>
        <w:tc>
          <w:tcPr>
            <w:tcW w:type="dxa" w:w="2016"/>
            <w:vAlign w:val="center"/>
          </w:tcPr>
          <w:p>
            <w:r>
              <w:rPr>
                <w:rFonts w:ascii="Times New Roman" w:hAnsi="Times New Roman"/>
                <w:color w:val="000000"/>
                <w:sz w:val="21"/>
              </w:rPr>
              <w:t>USA</w:t>
            </w:r>
          </w:p>
        </w:tc>
        <w:tc>
          <w:tcPr>
            <w:tcW w:type="dxa" w:w="2016"/>
            <w:vAlign w:val="center"/>
          </w:tcPr>
          <w:p>
            <w:r>
              <w:rPr>
                <w:rFonts w:ascii="Times New Roman" w:hAnsi="Times New Roman"/>
                <w:color w:val="000000"/>
                <w:sz w:val="21"/>
              </w:rPr>
              <w:t>6</w:t>
            </w:r>
          </w:p>
        </w:tc>
        <w:tc>
          <w:tcPr>
            <w:tcW w:type="dxa" w:w="2016"/>
            <w:vAlign w:val="center"/>
          </w:tcPr>
          <w:p>
            <w:r>
              <w:rPr>
                <w:rFonts w:ascii="Times New Roman" w:hAnsi="Times New Roman"/>
                <w:color w:val="000000"/>
                <w:sz w:val="21"/>
              </w:rPr>
              <w:t>46.54</w:t>
            </w:r>
          </w:p>
        </w:tc>
        <w:tc>
          <w:tcPr>
            <w:tcW w:type="dxa" w:w="2016"/>
            <w:vAlign w:val="center"/>
          </w:tcPr>
          <w:p>
            <w:r>
              <w:rPr>
                <w:rFonts w:ascii="Times New Roman" w:hAnsi="Times New Roman"/>
                <w:color w:val="000000"/>
                <w:sz w:val="21"/>
              </w:rPr>
              <w:t>58.05</w:t>
            </w:r>
          </w:p>
        </w:tc>
        <w:tc>
          <w:tcPr>
            <w:tcW w:type="dxa" w:w="2016"/>
            <w:vAlign w:val="center"/>
          </w:tcPr>
          <w:p>
            <w:r>
              <w:rPr>
                <w:rFonts w:ascii="Times New Roman" w:hAnsi="Times New Roman"/>
                <w:color w:val="000000"/>
                <w:sz w:val="21"/>
              </w:rPr>
              <w:t>3.10</w:t>
            </w:r>
          </w:p>
        </w:tc>
      </w:tr>
      <w:tr>
        <w:tc>
          <w:tcPr>
            <w:tcW w:type="dxa" w:w="2016"/>
            <w:vAlign w:val="center"/>
          </w:tcPr>
          <w:p>
            <w:r>
              <w:rPr>
                <w:rFonts w:ascii="Times New Roman" w:hAnsi="Times New Roman"/>
                <w:color w:val="000000"/>
                <w:sz w:val="21"/>
              </w:rPr>
              <w:t>France</w:t>
            </w:r>
          </w:p>
        </w:tc>
        <w:tc>
          <w:tcPr>
            <w:tcW w:type="dxa" w:w="2016"/>
            <w:vAlign w:val="center"/>
          </w:tcPr>
          <w:p>
            <w:r>
              <w:rPr>
                <w:rFonts w:ascii="Times New Roman" w:hAnsi="Times New Roman"/>
                <w:color w:val="000000"/>
                <w:sz w:val="21"/>
              </w:rPr>
              <w:t>6</w:t>
            </w:r>
          </w:p>
        </w:tc>
        <w:tc>
          <w:tcPr>
            <w:tcW w:type="dxa" w:w="2016"/>
            <w:vAlign w:val="center"/>
          </w:tcPr>
          <w:p>
            <w:r>
              <w:rPr>
                <w:rFonts w:ascii="Times New Roman" w:hAnsi="Times New Roman"/>
                <w:color w:val="000000"/>
                <w:sz w:val="21"/>
              </w:rPr>
              <w:t>41.64</w:t>
            </w:r>
          </w:p>
        </w:tc>
        <w:tc>
          <w:tcPr>
            <w:tcW w:type="dxa" w:w="2016"/>
            <w:vAlign w:val="center"/>
          </w:tcPr>
          <w:p>
            <w:r>
              <w:rPr>
                <w:rFonts w:ascii="Times New Roman" w:hAnsi="Times New Roman"/>
                <w:color w:val="000000"/>
                <w:sz w:val="21"/>
              </w:rPr>
              <w:t>63.79</w:t>
            </w:r>
          </w:p>
        </w:tc>
        <w:tc>
          <w:tcPr>
            <w:tcW w:type="dxa" w:w="2016"/>
            <w:vAlign w:val="center"/>
          </w:tcPr>
          <w:p>
            <w:r>
              <w:rPr>
                <w:rFonts w:ascii="Times New Roman" w:hAnsi="Times New Roman"/>
                <w:color w:val="000000"/>
                <w:sz w:val="21"/>
              </w:rPr>
              <w:t>3.66</w:t>
            </w:r>
          </w:p>
        </w:tc>
      </w:tr>
      <w:tr>
        <w:tc>
          <w:tcPr>
            <w:tcW w:type="dxa" w:w="2016"/>
            <w:vAlign w:val="center"/>
          </w:tcPr>
          <w:p>
            <w:r>
              <w:rPr>
                <w:rFonts w:ascii="Times New Roman" w:hAnsi="Times New Roman"/>
                <w:color w:val="000000"/>
                <w:sz w:val="21"/>
              </w:rPr>
              <w:t>Germany</w:t>
            </w:r>
          </w:p>
        </w:tc>
        <w:tc>
          <w:tcPr>
            <w:tcW w:type="dxa" w:w="2016"/>
            <w:vAlign w:val="center"/>
          </w:tcPr>
          <w:p>
            <w:r>
              <w:rPr>
                <w:rFonts w:ascii="Times New Roman" w:hAnsi="Times New Roman"/>
                <w:color w:val="000000"/>
                <w:sz w:val="21"/>
              </w:rPr>
              <w:t>6</w:t>
            </w:r>
          </w:p>
        </w:tc>
        <w:tc>
          <w:tcPr>
            <w:tcW w:type="dxa" w:w="2016"/>
            <w:vAlign w:val="center"/>
          </w:tcPr>
          <w:p>
            <w:r>
              <w:rPr>
                <w:rFonts w:ascii="Times New Roman" w:hAnsi="Times New Roman"/>
                <w:color w:val="000000"/>
                <w:sz w:val="21"/>
              </w:rPr>
              <w:t>41.22</w:t>
            </w:r>
          </w:p>
        </w:tc>
        <w:tc>
          <w:tcPr>
            <w:tcW w:type="dxa" w:w="2016"/>
            <w:vAlign w:val="center"/>
          </w:tcPr>
          <w:p>
            <w:r>
              <w:rPr>
                <w:rFonts w:ascii="Times New Roman" w:hAnsi="Times New Roman"/>
                <w:color w:val="000000"/>
                <w:sz w:val="21"/>
              </w:rPr>
              <w:t>26.90</w:t>
            </w:r>
          </w:p>
        </w:tc>
        <w:tc>
          <w:tcPr>
            <w:tcW w:type="dxa" w:w="2016"/>
            <w:vAlign w:val="center"/>
          </w:tcPr>
          <w:p>
            <w:r>
              <w:rPr>
                <w:rFonts w:ascii="Times New Roman" w:hAnsi="Times New Roman"/>
                <w:color w:val="000000"/>
                <w:sz w:val="21"/>
              </w:rPr>
              <w:t>2.69</w:t>
            </w:r>
          </w:p>
        </w:tc>
      </w:tr>
      <w:tr>
        <w:tc>
          <w:tcPr>
            <w:tcW w:type="dxa" w:w="2016"/>
            <w:vAlign w:val="center"/>
          </w:tcPr>
          <w:p>
            <w:r>
              <w:rPr>
                <w:rFonts w:ascii="Times New Roman" w:hAnsi="Times New Roman"/>
                <w:color w:val="000000"/>
                <w:sz w:val="21"/>
              </w:rPr>
              <w:t>Switzerland</w:t>
            </w:r>
          </w:p>
        </w:tc>
        <w:tc>
          <w:tcPr>
            <w:tcW w:type="dxa" w:w="2016"/>
            <w:vAlign w:val="center"/>
          </w:tcPr>
          <w:p>
            <w:r>
              <w:rPr>
                <w:rFonts w:ascii="Times New Roman" w:hAnsi="Times New Roman"/>
                <w:color w:val="000000"/>
                <w:sz w:val="21"/>
              </w:rPr>
              <w:t>6</w:t>
            </w:r>
          </w:p>
        </w:tc>
        <w:tc>
          <w:tcPr>
            <w:tcW w:type="dxa" w:w="2016"/>
            <w:vAlign w:val="center"/>
          </w:tcPr>
          <w:p>
            <w:r>
              <w:rPr>
                <w:rFonts w:ascii="Times New Roman" w:hAnsi="Times New Roman"/>
                <w:color w:val="000000"/>
                <w:sz w:val="21"/>
              </w:rPr>
              <w:t>41.11</w:t>
            </w:r>
          </w:p>
        </w:tc>
        <w:tc>
          <w:tcPr>
            <w:tcW w:type="dxa" w:w="2016"/>
            <w:vAlign w:val="center"/>
          </w:tcPr>
          <w:p>
            <w:r>
              <w:rPr>
                <w:rFonts w:ascii="Times New Roman" w:hAnsi="Times New Roman"/>
                <w:color w:val="000000"/>
                <w:sz w:val="21"/>
              </w:rPr>
              <w:t>34.47</w:t>
            </w:r>
          </w:p>
        </w:tc>
        <w:tc>
          <w:tcPr>
            <w:tcW w:type="dxa" w:w="2016"/>
            <w:vAlign w:val="center"/>
          </w:tcPr>
          <w:p>
            <w:r>
              <w:rPr>
                <w:rFonts w:ascii="Times New Roman" w:hAnsi="Times New Roman"/>
                <w:color w:val="000000"/>
                <w:sz w:val="21"/>
              </w:rPr>
              <w:t>2.68</w:t>
            </w:r>
          </w:p>
        </w:tc>
      </w:tr>
      <w:tr>
        <w:tc>
          <w:tcPr>
            <w:tcW w:type="dxa" w:w="2016"/>
            <w:vAlign w:val="center"/>
          </w:tcPr>
          <w:p>
            <w:r>
              <w:rPr>
                <w:rFonts w:ascii="Times New Roman" w:hAnsi="Times New Roman"/>
                <w:color w:val="000000"/>
                <w:sz w:val="21"/>
              </w:rPr>
              <w:t>UK</w:t>
            </w:r>
          </w:p>
        </w:tc>
        <w:tc>
          <w:tcPr>
            <w:tcW w:type="dxa" w:w="2016"/>
            <w:vAlign w:val="center"/>
          </w:tcPr>
          <w:p>
            <w:r>
              <w:rPr>
                <w:rFonts w:ascii="Times New Roman" w:hAnsi="Times New Roman"/>
                <w:color w:val="000000"/>
                <w:sz w:val="21"/>
              </w:rPr>
              <w:t>6</w:t>
            </w:r>
          </w:p>
        </w:tc>
        <w:tc>
          <w:tcPr>
            <w:tcW w:type="dxa" w:w="2016"/>
            <w:vAlign w:val="center"/>
          </w:tcPr>
          <w:p>
            <w:r>
              <w:rPr>
                <w:rFonts w:ascii="Times New Roman" w:hAnsi="Times New Roman"/>
                <w:color w:val="000000"/>
                <w:sz w:val="21"/>
              </w:rPr>
              <w:t>39.93</w:t>
            </w:r>
          </w:p>
        </w:tc>
        <w:tc>
          <w:tcPr>
            <w:tcW w:type="dxa" w:w="2016"/>
            <w:vAlign w:val="center"/>
          </w:tcPr>
          <w:p>
            <w:r>
              <w:rPr>
                <w:rFonts w:ascii="Times New Roman" w:hAnsi="Times New Roman"/>
                <w:color w:val="000000"/>
                <w:sz w:val="21"/>
              </w:rPr>
              <w:t>43.68</w:t>
            </w:r>
          </w:p>
        </w:tc>
        <w:tc>
          <w:tcPr>
            <w:tcW w:type="dxa" w:w="2016"/>
            <w:vAlign w:val="center"/>
          </w:tcPr>
          <w:p>
            <w:r>
              <w:rPr>
                <w:rFonts w:ascii="Times New Roman" w:hAnsi="Times New Roman"/>
                <w:color w:val="000000"/>
                <w:sz w:val="21"/>
              </w:rPr>
              <w:t>3.18</w:t>
            </w:r>
          </w:p>
        </w:tc>
      </w:tr>
      <w:tr>
        <w:tc>
          <w:tcPr>
            <w:tcW w:type="dxa" w:w="2016"/>
            <w:vAlign w:val="center"/>
          </w:tcPr>
          <w:p>
            <w:r>
              <w:rPr>
                <w:rFonts w:ascii="Times New Roman" w:hAnsi="Times New Roman"/>
                <w:color w:val="000000"/>
                <w:sz w:val="21"/>
              </w:rPr>
              <w:t>India</w:t>
            </w:r>
          </w:p>
        </w:tc>
        <w:tc>
          <w:tcPr>
            <w:tcW w:type="dxa" w:w="2016"/>
            <w:vAlign w:val="center"/>
          </w:tcPr>
          <w:p>
            <w:r>
              <w:rPr>
                <w:rFonts w:ascii="Times New Roman" w:hAnsi="Times New Roman"/>
                <w:color w:val="000000"/>
                <w:sz w:val="21"/>
              </w:rPr>
              <w:t>6</w:t>
            </w:r>
          </w:p>
        </w:tc>
        <w:tc>
          <w:tcPr>
            <w:tcW w:type="dxa" w:w="2016"/>
            <w:vAlign w:val="center"/>
          </w:tcPr>
          <w:p>
            <w:r>
              <w:rPr>
                <w:rFonts w:ascii="Times New Roman" w:hAnsi="Times New Roman"/>
                <w:color w:val="000000"/>
                <w:sz w:val="21"/>
              </w:rPr>
              <w:t>30.35</w:t>
            </w:r>
          </w:p>
        </w:tc>
        <w:tc>
          <w:tcPr>
            <w:tcW w:type="dxa" w:w="2016"/>
            <w:vAlign w:val="center"/>
          </w:tcPr>
          <w:p>
            <w:r>
              <w:rPr>
                <w:rFonts w:ascii="Times New Roman" w:hAnsi="Times New Roman"/>
                <w:color w:val="000000"/>
                <w:sz w:val="21"/>
              </w:rPr>
              <w:t>24.94</w:t>
            </w:r>
          </w:p>
        </w:tc>
        <w:tc>
          <w:tcPr>
            <w:tcW w:type="dxa" w:w="2016"/>
            <w:vAlign w:val="center"/>
          </w:tcPr>
          <w:p>
            <w:r>
              <w:rPr>
                <w:rFonts w:ascii="Times New Roman" w:hAnsi="Times New Roman"/>
                <w:color w:val="000000"/>
                <w:sz w:val="21"/>
              </w:rPr>
              <w:t>2.40</w:t>
            </w:r>
          </w:p>
        </w:tc>
      </w:tr>
      <w:tr>
        <w:tc>
          <w:tcPr>
            <w:tcW w:type="dxa" w:w="2016"/>
            <w:vAlign w:val="center"/>
          </w:tcPr>
          <w:p>
            <w:r>
              <w:rPr>
                <w:rFonts w:ascii="Times New Roman" w:hAnsi="Times New Roman"/>
                <w:color w:val="000000"/>
                <w:sz w:val="21"/>
              </w:rPr>
              <w:t>Japan</w:t>
            </w:r>
          </w:p>
        </w:tc>
        <w:tc>
          <w:tcPr>
            <w:tcW w:type="dxa" w:w="2016"/>
            <w:vAlign w:val="center"/>
          </w:tcPr>
          <w:p>
            <w:r>
              <w:rPr>
                <w:rFonts w:ascii="Times New Roman" w:hAnsi="Times New Roman"/>
                <w:color w:val="000000"/>
                <w:sz w:val="21"/>
              </w:rPr>
              <w:t>6</w:t>
            </w:r>
          </w:p>
        </w:tc>
        <w:tc>
          <w:tcPr>
            <w:tcW w:type="dxa" w:w="2016"/>
            <w:vAlign w:val="center"/>
          </w:tcPr>
          <w:p>
            <w:r>
              <w:rPr>
                <w:rFonts w:ascii="Times New Roman" w:hAnsi="Times New Roman"/>
                <w:color w:val="000000"/>
                <w:sz w:val="21"/>
              </w:rPr>
              <w:t>29.18</w:t>
            </w:r>
          </w:p>
        </w:tc>
        <w:tc>
          <w:tcPr>
            <w:tcW w:type="dxa" w:w="2016"/>
            <w:vAlign w:val="center"/>
          </w:tcPr>
          <w:p>
            <w:r>
              <w:rPr>
                <w:rFonts w:ascii="Times New Roman" w:hAnsi="Times New Roman"/>
                <w:color w:val="000000"/>
                <w:sz w:val="21"/>
              </w:rPr>
              <w:t>23.30</w:t>
            </w:r>
          </w:p>
        </w:tc>
        <w:tc>
          <w:tcPr>
            <w:tcW w:type="dxa" w:w="2016"/>
            <w:vAlign w:val="center"/>
          </w:tcPr>
          <w:p>
            <w:r>
              <w:rPr>
                <w:rFonts w:ascii="Times New Roman" w:hAnsi="Times New Roman"/>
                <w:color w:val="000000"/>
                <w:sz w:val="21"/>
              </w:rPr>
              <w:t>2.79</w:t>
            </w:r>
          </w:p>
        </w:tc>
      </w:tr>
      <w:tr>
        <w:tc>
          <w:tcPr>
            <w:tcW w:type="dxa" w:w="2016"/>
            <w:vAlign w:val="center"/>
          </w:tcPr>
          <w:p>
            <w:r>
              <w:rPr>
                <w:rFonts w:ascii="Times New Roman" w:hAnsi="Times New Roman"/>
                <w:color w:val="000000"/>
                <w:sz w:val="21"/>
              </w:rPr>
              <w:t>Australia</w:t>
            </w:r>
          </w:p>
        </w:tc>
        <w:tc>
          <w:tcPr>
            <w:tcW w:type="dxa" w:w="2016"/>
            <w:vAlign w:val="center"/>
          </w:tcPr>
          <w:p>
            <w:r>
              <w:rPr>
                <w:rFonts w:ascii="Times New Roman" w:hAnsi="Times New Roman"/>
                <w:color w:val="000000"/>
                <w:sz w:val="21"/>
              </w:rPr>
              <w:t>6</w:t>
            </w:r>
          </w:p>
        </w:tc>
        <w:tc>
          <w:tcPr>
            <w:tcW w:type="dxa" w:w="2016"/>
            <w:vAlign w:val="center"/>
          </w:tcPr>
          <w:p>
            <w:r>
              <w:rPr>
                <w:rFonts w:ascii="Times New Roman" w:hAnsi="Times New Roman"/>
                <w:color w:val="000000"/>
                <w:sz w:val="21"/>
              </w:rPr>
              <w:t>27.60</w:t>
            </w:r>
          </w:p>
        </w:tc>
        <w:tc>
          <w:tcPr>
            <w:tcW w:type="dxa" w:w="2016"/>
            <w:vAlign w:val="center"/>
          </w:tcPr>
          <w:p>
            <w:r>
              <w:rPr>
                <w:rFonts w:ascii="Times New Roman" w:hAnsi="Times New Roman"/>
                <w:color w:val="000000"/>
                <w:sz w:val="21"/>
              </w:rPr>
              <w:t>22.43</w:t>
            </w:r>
          </w:p>
        </w:tc>
        <w:tc>
          <w:tcPr>
            <w:tcW w:type="dxa" w:w="2016"/>
            <w:vAlign w:val="center"/>
          </w:tcPr>
          <w:p>
            <w:r>
              <w:rPr>
                <w:rFonts w:ascii="Times New Roman" w:hAnsi="Times New Roman"/>
                <w:color w:val="000000"/>
                <w:sz w:val="21"/>
              </w:rPr>
              <w:t>2.81</w:t>
            </w:r>
          </w:p>
        </w:tc>
      </w:tr>
      <w:tr>
        <w:tc>
          <w:tcPr>
            <w:tcW w:type="dxa" w:w="2016"/>
            <w:vAlign w:val="center"/>
          </w:tcPr>
          <w:p>
            <w:r>
              <w:rPr>
                <w:rFonts w:ascii="Times New Roman" w:hAnsi="Times New Roman"/>
                <w:color w:val="000000"/>
                <w:sz w:val="21"/>
              </w:rPr>
              <w:t>Singapore</w:t>
            </w:r>
          </w:p>
        </w:tc>
        <w:tc>
          <w:tcPr>
            <w:tcW w:type="dxa" w:w="2016"/>
            <w:vAlign w:val="center"/>
          </w:tcPr>
          <w:p>
            <w:r>
              <w:rPr>
                <w:rFonts w:ascii="Times New Roman" w:hAnsi="Times New Roman"/>
                <w:color w:val="000000"/>
                <w:sz w:val="21"/>
              </w:rPr>
              <w:t>6</w:t>
            </w:r>
          </w:p>
        </w:tc>
        <w:tc>
          <w:tcPr>
            <w:tcW w:type="dxa" w:w="2016"/>
            <w:vAlign w:val="center"/>
          </w:tcPr>
          <w:p>
            <w:r>
              <w:rPr>
                <w:rFonts w:ascii="Times New Roman" w:hAnsi="Times New Roman"/>
                <w:color w:val="000000"/>
                <w:sz w:val="21"/>
              </w:rPr>
              <w:t>25.77</w:t>
            </w:r>
          </w:p>
        </w:tc>
        <w:tc>
          <w:tcPr>
            <w:tcW w:type="dxa" w:w="2016"/>
            <w:vAlign w:val="center"/>
          </w:tcPr>
          <w:p>
            <w:r>
              <w:rPr>
                <w:rFonts w:ascii="Times New Roman" w:hAnsi="Times New Roman"/>
                <w:color w:val="000000"/>
                <w:sz w:val="21"/>
              </w:rPr>
              <w:t>37.14</w:t>
            </w:r>
          </w:p>
        </w:tc>
        <w:tc>
          <w:tcPr>
            <w:tcW w:type="dxa" w:w="2016"/>
            <w:vAlign w:val="center"/>
          </w:tcPr>
          <w:p>
            <w:r>
              <w:rPr>
                <w:rFonts w:ascii="Times New Roman" w:hAnsi="Times New Roman"/>
                <w:color w:val="000000"/>
                <w:sz w:val="21"/>
              </w:rPr>
              <w:t>3.86</w:t>
            </w:r>
          </w:p>
        </w:tc>
      </w:tr>
      <w:tr>
        <w:tc>
          <w:tcPr>
            <w:tcW w:type="dxa" w:w="2016"/>
            <w:vAlign w:val="center"/>
          </w:tcPr>
          <w:p>
            <w:r>
              <w:rPr>
                <w:rFonts w:ascii="Times New Roman" w:hAnsi="Times New Roman"/>
                <w:color w:val="000000"/>
                <w:sz w:val="21"/>
              </w:rPr>
              <w:t>Saudi Arabia</w:t>
            </w:r>
          </w:p>
        </w:tc>
        <w:tc>
          <w:tcPr>
            <w:tcW w:type="dxa" w:w="2016"/>
            <w:vAlign w:val="center"/>
          </w:tcPr>
          <w:p>
            <w:r>
              <w:rPr>
                <w:rFonts w:ascii="Times New Roman" w:hAnsi="Times New Roman"/>
                <w:color w:val="000000"/>
                <w:sz w:val="21"/>
              </w:rPr>
              <w:t>6</w:t>
            </w:r>
          </w:p>
        </w:tc>
        <w:tc>
          <w:tcPr>
            <w:tcW w:type="dxa" w:w="2016"/>
            <w:vAlign w:val="center"/>
          </w:tcPr>
          <w:p>
            <w:r>
              <w:rPr>
                <w:rFonts w:ascii="Times New Roman" w:hAnsi="Times New Roman"/>
                <w:color w:val="000000"/>
                <w:sz w:val="21"/>
              </w:rPr>
              <w:t>13.43</w:t>
            </w:r>
          </w:p>
        </w:tc>
        <w:tc>
          <w:tcPr>
            <w:tcW w:type="dxa" w:w="2016"/>
            <w:vAlign w:val="center"/>
          </w:tcPr>
          <w:p>
            <w:r>
              <w:rPr>
                <w:rFonts w:ascii="Times New Roman" w:hAnsi="Times New Roman"/>
                <w:color w:val="000000"/>
                <w:sz w:val="21"/>
              </w:rPr>
              <w:t>16.02</w:t>
            </w:r>
          </w:p>
        </w:tc>
        <w:tc>
          <w:tcPr>
            <w:tcW w:type="dxa" w:w="2016"/>
            <w:vAlign w:val="center"/>
          </w:tcPr>
          <w:p>
            <w:r>
              <w:rPr>
                <w:rFonts w:ascii="Times New Roman" w:hAnsi="Times New Roman"/>
                <w:color w:val="000000"/>
                <w:sz w:val="21"/>
              </w:rPr>
              <w:t>3.30</w:t>
            </w:r>
          </w:p>
        </w:tc>
      </w:tr>
      <w:tr>
        <w:tc>
          <w:tcPr>
            <w:tcW w:type="dxa" w:w="2016"/>
            <w:vAlign w:val="center"/>
          </w:tcPr>
          <w:p>
            <w:r>
              <w:rPr>
                <w:rFonts w:ascii="Times New Roman" w:hAnsi="Times New Roman"/>
                <w:color w:val="000000"/>
                <w:sz w:val="21"/>
              </w:rPr>
              <w:t>UAE</w:t>
            </w:r>
          </w:p>
        </w:tc>
        <w:tc>
          <w:tcPr>
            <w:tcW w:type="dxa" w:w="2016"/>
            <w:vAlign w:val="center"/>
          </w:tcPr>
          <w:p>
            <w:r>
              <w:rPr>
                <w:rFonts w:ascii="Times New Roman" w:hAnsi="Times New Roman"/>
                <w:color w:val="000000"/>
                <w:sz w:val="21"/>
              </w:rPr>
              <w:t>6</w:t>
            </w:r>
          </w:p>
        </w:tc>
        <w:tc>
          <w:tcPr>
            <w:tcW w:type="dxa" w:w="2016"/>
            <w:vAlign w:val="center"/>
          </w:tcPr>
          <w:p>
            <w:r>
              <w:rPr>
                <w:rFonts w:ascii="Times New Roman" w:hAnsi="Times New Roman"/>
                <w:color w:val="000000"/>
                <w:sz w:val="21"/>
              </w:rPr>
              <w:t>11.97</w:t>
            </w:r>
          </w:p>
        </w:tc>
        <w:tc>
          <w:tcPr>
            <w:tcW w:type="dxa" w:w="2016"/>
            <w:vAlign w:val="center"/>
          </w:tcPr>
          <w:p>
            <w:r>
              <w:rPr>
                <w:rFonts w:ascii="Times New Roman" w:hAnsi="Times New Roman"/>
                <w:color w:val="000000"/>
                <w:sz w:val="21"/>
              </w:rPr>
              <w:t>12.93</w:t>
            </w:r>
          </w:p>
        </w:tc>
        <w:tc>
          <w:tcPr>
            <w:tcW w:type="dxa" w:w="2016"/>
            <w:vAlign w:val="center"/>
          </w:tcPr>
          <w:p>
            <w:r>
              <w:rPr>
                <w:rFonts w:ascii="Times New Roman" w:hAnsi="Times New Roman"/>
                <w:color w:val="000000"/>
                <w:sz w:val="21"/>
              </w:rPr>
              <w:t>3.13</w:t>
            </w:r>
          </w:p>
        </w:tc>
      </w:tr>
    </w:tbl>
    <w:p>
      <w:pPr>
        <w:jc w:val="both"/>
      </w:pPr>
    </w:p>
    <w:p>
      <w:pPr>
        <w:jc w:val="both"/>
      </w:pPr>
      <w:r>
        <w:rPr>
          <w:rFonts w:ascii="Times New Roman" w:hAnsi="Times New Roman"/>
          <w:color w:val="000000"/>
          <w:sz w:val="22"/>
        </w:rPr>
        <w:t>Canada records the highest total AI spending in the supplied dataset at USD 46.57 million, closely followed by the USA at USD 46.54 million. France has an average ROI of 3.66x, while Singapore records the highest country-level average ROI at 3.86x among the project records.</w:t>
      </w:r>
    </w:p>
    <w:p>
      <w:pPr>
        <w:spacing w:before="160" w:after="100"/>
        <w:jc w:val="left"/>
      </w:pPr>
      <w:r>
        <w:rPr>
          <w:rFonts w:ascii="Times New Roman" w:hAnsi="Times New Roman"/>
          <w:b/>
          <w:color w:val="000000"/>
          <w:sz w:val="26"/>
        </w:rPr>
        <w:t>12. Bank-wise AI Spending Analysis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E7E6E6"/>
          </w:tcPr>
          <w:p>
            <w:r>
              <w:rPr>
                <w:rFonts w:ascii="Times New Roman" w:hAnsi="Times New Roman"/>
                <w:b/>
                <w:color w:val="000000"/>
                <w:sz w:val="21"/>
              </w:rPr>
              <w:t>Bank</w:t>
            </w:r>
          </w:p>
        </w:tc>
        <w:tc>
          <w:tcPr>
            <w:tcW w:type="dxa" w:w="2016"/>
            <w:shd w:fill="E7E6E6"/>
          </w:tcPr>
          <w:p>
            <w:r>
              <w:rPr>
                <w:rFonts w:ascii="Times New Roman" w:hAnsi="Times New Roman"/>
                <w:b/>
                <w:color w:val="000000"/>
                <w:sz w:val="21"/>
              </w:rPr>
              <w:t>Records</w:t>
            </w:r>
          </w:p>
        </w:tc>
        <w:tc>
          <w:tcPr>
            <w:tcW w:type="dxa" w:w="2016"/>
            <w:shd w:fill="E7E6E6"/>
          </w:tcPr>
          <w:p>
            <w:r>
              <w:rPr>
                <w:rFonts w:ascii="Times New Roman" w:hAnsi="Times New Roman"/>
                <w:b/>
                <w:color w:val="000000"/>
                <w:sz w:val="21"/>
              </w:rPr>
              <w:t>AI Spend (USD M)</w:t>
            </w:r>
          </w:p>
        </w:tc>
        <w:tc>
          <w:tcPr>
            <w:tcW w:type="dxa" w:w="2016"/>
            <w:shd w:fill="E7E6E6"/>
          </w:tcPr>
          <w:p>
            <w:r>
              <w:rPr>
                <w:rFonts w:ascii="Times New Roman" w:hAnsi="Times New Roman"/>
                <w:b/>
                <w:color w:val="000000"/>
                <w:sz w:val="21"/>
              </w:rPr>
              <w:t>Savings (USD M)</w:t>
            </w:r>
          </w:p>
        </w:tc>
        <w:tc>
          <w:tcPr>
            <w:tcW w:type="dxa" w:w="2016"/>
            <w:shd w:fill="E7E6E6"/>
          </w:tcPr>
          <w:p>
            <w:r>
              <w:rPr>
                <w:rFonts w:ascii="Times New Roman" w:hAnsi="Times New Roman"/>
                <w:b/>
                <w:color w:val="000000"/>
                <w:sz w:val="21"/>
              </w:rPr>
              <w:t>Avg ROI</w:t>
            </w:r>
          </w:p>
        </w:tc>
      </w:tr>
      <w:tr>
        <w:tc>
          <w:tcPr>
            <w:tcW w:type="dxa" w:w="2016"/>
            <w:vAlign w:val="center"/>
          </w:tcPr>
          <w:p>
            <w:r>
              <w:rPr>
                <w:rFonts w:ascii="Times New Roman" w:hAnsi="Times New Roman"/>
                <w:color w:val="000000"/>
                <w:sz w:val="21"/>
              </w:rPr>
              <w:t>Bank of America</w:t>
            </w:r>
          </w:p>
        </w:tc>
        <w:tc>
          <w:tcPr>
            <w:tcW w:type="dxa" w:w="2016"/>
            <w:vAlign w:val="center"/>
          </w:tcPr>
          <w:p>
            <w:r>
              <w:rPr>
                <w:rFonts w:ascii="Times New Roman" w:hAnsi="Times New Roman"/>
                <w:color w:val="000000"/>
                <w:sz w:val="21"/>
              </w:rPr>
              <w:t>4</w:t>
            </w:r>
          </w:p>
        </w:tc>
        <w:tc>
          <w:tcPr>
            <w:tcW w:type="dxa" w:w="2016"/>
            <w:vAlign w:val="center"/>
          </w:tcPr>
          <w:p>
            <w:r>
              <w:rPr>
                <w:rFonts w:ascii="Times New Roman" w:hAnsi="Times New Roman"/>
                <w:color w:val="000000"/>
                <w:sz w:val="21"/>
              </w:rPr>
              <w:t>33.39</w:t>
            </w:r>
          </w:p>
        </w:tc>
        <w:tc>
          <w:tcPr>
            <w:tcW w:type="dxa" w:w="2016"/>
            <w:vAlign w:val="center"/>
          </w:tcPr>
          <w:p>
            <w:r>
              <w:rPr>
                <w:rFonts w:ascii="Times New Roman" w:hAnsi="Times New Roman"/>
                <w:color w:val="000000"/>
                <w:sz w:val="21"/>
              </w:rPr>
              <w:t>43.44</w:t>
            </w:r>
          </w:p>
        </w:tc>
        <w:tc>
          <w:tcPr>
            <w:tcW w:type="dxa" w:w="2016"/>
            <w:vAlign w:val="center"/>
          </w:tcPr>
          <w:p>
            <w:r>
              <w:rPr>
                <w:rFonts w:ascii="Times New Roman" w:hAnsi="Times New Roman"/>
                <w:color w:val="000000"/>
                <w:sz w:val="21"/>
              </w:rPr>
              <w:t>3.48</w:t>
            </w:r>
          </w:p>
        </w:tc>
      </w:tr>
      <w:tr>
        <w:tc>
          <w:tcPr>
            <w:tcW w:type="dxa" w:w="2016"/>
            <w:vAlign w:val="center"/>
          </w:tcPr>
          <w:p>
            <w:r>
              <w:rPr>
                <w:rFonts w:ascii="Times New Roman" w:hAnsi="Times New Roman"/>
                <w:color w:val="000000"/>
                <w:sz w:val="21"/>
              </w:rPr>
              <w:t>Credit Suisse</w:t>
            </w:r>
          </w:p>
        </w:tc>
        <w:tc>
          <w:tcPr>
            <w:tcW w:type="dxa" w:w="2016"/>
            <w:vAlign w:val="center"/>
          </w:tcPr>
          <w:p>
            <w:r>
              <w:rPr>
                <w:rFonts w:ascii="Times New Roman" w:hAnsi="Times New Roman"/>
                <w:color w:val="000000"/>
                <w:sz w:val="21"/>
              </w:rPr>
              <w:t>4</w:t>
            </w:r>
          </w:p>
        </w:tc>
        <w:tc>
          <w:tcPr>
            <w:tcW w:type="dxa" w:w="2016"/>
            <w:vAlign w:val="center"/>
          </w:tcPr>
          <w:p>
            <w:r>
              <w:rPr>
                <w:rFonts w:ascii="Times New Roman" w:hAnsi="Times New Roman"/>
                <w:color w:val="000000"/>
                <w:sz w:val="21"/>
              </w:rPr>
              <w:t>28.11</w:t>
            </w:r>
          </w:p>
        </w:tc>
        <w:tc>
          <w:tcPr>
            <w:tcW w:type="dxa" w:w="2016"/>
            <w:vAlign w:val="center"/>
          </w:tcPr>
          <w:p>
            <w:r>
              <w:rPr>
                <w:rFonts w:ascii="Times New Roman" w:hAnsi="Times New Roman"/>
                <w:color w:val="000000"/>
                <w:sz w:val="21"/>
              </w:rPr>
              <w:t>26.51</w:t>
            </w:r>
          </w:p>
        </w:tc>
        <w:tc>
          <w:tcPr>
            <w:tcW w:type="dxa" w:w="2016"/>
            <w:vAlign w:val="center"/>
          </w:tcPr>
          <w:p>
            <w:r>
              <w:rPr>
                <w:rFonts w:ascii="Times New Roman" w:hAnsi="Times New Roman"/>
                <w:color w:val="000000"/>
                <w:sz w:val="21"/>
              </w:rPr>
              <w:t>2.94</w:t>
            </w:r>
          </w:p>
        </w:tc>
      </w:tr>
      <w:tr>
        <w:tc>
          <w:tcPr>
            <w:tcW w:type="dxa" w:w="2016"/>
            <w:vAlign w:val="center"/>
          </w:tcPr>
          <w:p>
            <w:r>
              <w:rPr>
                <w:rFonts w:ascii="Times New Roman" w:hAnsi="Times New Roman"/>
                <w:color w:val="000000"/>
                <w:sz w:val="21"/>
              </w:rPr>
              <w:t>Societe Generale</w:t>
            </w:r>
          </w:p>
        </w:tc>
        <w:tc>
          <w:tcPr>
            <w:tcW w:type="dxa" w:w="2016"/>
            <w:vAlign w:val="center"/>
          </w:tcPr>
          <w:p>
            <w:r>
              <w:rPr>
                <w:rFonts w:ascii="Times New Roman" w:hAnsi="Times New Roman"/>
                <w:color w:val="000000"/>
                <w:sz w:val="21"/>
              </w:rPr>
              <w:t>4</w:t>
            </w:r>
          </w:p>
        </w:tc>
        <w:tc>
          <w:tcPr>
            <w:tcW w:type="dxa" w:w="2016"/>
            <w:vAlign w:val="center"/>
          </w:tcPr>
          <w:p>
            <w:r>
              <w:rPr>
                <w:rFonts w:ascii="Times New Roman" w:hAnsi="Times New Roman"/>
                <w:color w:val="000000"/>
                <w:sz w:val="21"/>
              </w:rPr>
              <w:t>27.43</w:t>
            </w:r>
          </w:p>
        </w:tc>
        <w:tc>
          <w:tcPr>
            <w:tcW w:type="dxa" w:w="2016"/>
            <w:vAlign w:val="center"/>
          </w:tcPr>
          <w:p>
            <w:r>
              <w:rPr>
                <w:rFonts w:ascii="Times New Roman" w:hAnsi="Times New Roman"/>
                <w:color w:val="000000"/>
                <w:sz w:val="21"/>
              </w:rPr>
              <w:t>43.48</w:t>
            </w:r>
          </w:p>
        </w:tc>
        <w:tc>
          <w:tcPr>
            <w:tcW w:type="dxa" w:w="2016"/>
            <w:vAlign w:val="center"/>
          </w:tcPr>
          <w:p>
            <w:r>
              <w:rPr>
                <w:rFonts w:ascii="Times New Roman" w:hAnsi="Times New Roman"/>
                <w:color w:val="000000"/>
                <w:sz w:val="21"/>
              </w:rPr>
              <w:t>3.58</w:t>
            </w:r>
          </w:p>
        </w:tc>
      </w:tr>
      <w:tr>
        <w:tc>
          <w:tcPr>
            <w:tcW w:type="dxa" w:w="2016"/>
            <w:vAlign w:val="center"/>
          </w:tcPr>
          <w:p>
            <w:r>
              <w:rPr>
                <w:rFonts w:ascii="Times New Roman" w:hAnsi="Times New Roman"/>
                <w:color w:val="000000"/>
                <w:sz w:val="21"/>
              </w:rPr>
              <w:t>TD Bank</w:t>
            </w:r>
          </w:p>
        </w:tc>
        <w:tc>
          <w:tcPr>
            <w:tcW w:type="dxa" w:w="2016"/>
            <w:vAlign w:val="center"/>
          </w:tcPr>
          <w:p>
            <w:r>
              <w:rPr>
                <w:rFonts w:ascii="Times New Roman" w:hAnsi="Times New Roman"/>
                <w:color w:val="000000"/>
                <w:sz w:val="21"/>
              </w:rPr>
              <w:t>3</w:t>
            </w:r>
          </w:p>
        </w:tc>
        <w:tc>
          <w:tcPr>
            <w:tcW w:type="dxa" w:w="2016"/>
            <w:vAlign w:val="center"/>
          </w:tcPr>
          <w:p>
            <w:r>
              <w:rPr>
                <w:rFonts w:ascii="Times New Roman" w:hAnsi="Times New Roman"/>
                <w:color w:val="000000"/>
                <w:sz w:val="21"/>
              </w:rPr>
              <w:t>26.14</w:t>
            </w:r>
          </w:p>
        </w:tc>
        <w:tc>
          <w:tcPr>
            <w:tcW w:type="dxa" w:w="2016"/>
            <w:vAlign w:val="center"/>
          </w:tcPr>
          <w:p>
            <w:r>
              <w:rPr>
                <w:rFonts w:ascii="Times New Roman" w:hAnsi="Times New Roman"/>
                <w:color w:val="000000"/>
                <w:sz w:val="21"/>
              </w:rPr>
              <w:t>15.55</w:t>
            </w:r>
          </w:p>
        </w:tc>
        <w:tc>
          <w:tcPr>
            <w:tcW w:type="dxa" w:w="2016"/>
            <w:vAlign w:val="center"/>
          </w:tcPr>
          <w:p>
            <w:r>
              <w:rPr>
                <w:rFonts w:ascii="Times New Roman" w:hAnsi="Times New Roman"/>
                <w:color w:val="000000"/>
                <w:sz w:val="21"/>
              </w:rPr>
              <w:t>2.80</w:t>
            </w:r>
          </w:p>
        </w:tc>
      </w:tr>
      <w:tr>
        <w:tc>
          <w:tcPr>
            <w:tcW w:type="dxa" w:w="2016"/>
            <w:vAlign w:val="center"/>
          </w:tcPr>
          <w:p>
            <w:r>
              <w:rPr>
                <w:rFonts w:ascii="Times New Roman" w:hAnsi="Times New Roman"/>
                <w:color w:val="000000"/>
                <w:sz w:val="21"/>
              </w:rPr>
              <w:t>Deutsche Bank</w:t>
            </w:r>
          </w:p>
        </w:tc>
        <w:tc>
          <w:tcPr>
            <w:tcW w:type="dxa" w:w="2016"/>
            <w:vAlign w:val="center"/>
          </w:tcPr>
          <w:p>
            <w:r>
              <w:rPr>
                <w:rFonts w:ascii="Times New Roman" w:hAnsi="Times New Roman"/>
                <w:color w:val="000000"/>
                <w:sz w:val="21"/>
              </w:rPr>
              <w:t>3</w:t>
            </w:r>
          </w:p>
        </w:tc>
        <w:tc>
          <w:tcPr>
            <w:tcW w:type="dxa" w:w="2016"/>
            <w:vAlign w:val="center"/>
          </w:tcPr>
          <w:p>
            <w:r>
              <w:rPr>
                <w:rFonts w:ascii="Times New Roman" w:hAnsi="Times New Roman"/>
                <w:color w:val="000000"/>
                <w:sz w:val="21"/>
              </w:rPr>
              <w:t>24.58</w:t>
            </w:r>
          </w:p>
        </w:tc>
        <w:tc>
          <w:tcPr>
            <w:tcW w:type="dxa" w:w="2016"/>
            <w:vAlign w:val="center"/>
          </w:tcPr>
          <w:p>
            <w:r>
              <w:rPr>
                <w:rFonts w:ascii="Times New Roman" w:hAnsi="Times New Roman"/>
                <w:color w:val="000000"/>
                <w:sz w:val="21"/>
              </w:rPr>
              <w:t>18.13</w:t>
            </w:r>
          </w:p>
        </w:tc>
        <w:tc>
          <w:tcPr>
            <w:tcW w:type="dxa" w:w="2016"/>
            <w:vAlign w:val="center"/>
          </w:tcPr>
          <w:p>
            <w:r>
              <w:rPr>
                <w:rFonts w:ascii="Times New Roman" w:hAnsi="Times New Roman"/>
                <w:color w:val="000000"/>
                <w:sz w:val="21"/>
              </w:rPr>
              <w:t>3.00</w:t>
            </w:r>
          </w:p>
        </w:tc>
      </w:tr>
      <w:tr>
        <w:tc>
          <w:tcPr>
            <w:tcW w:type="dxa" w:w="2016"/>
            <w:vAlign w:val="center"/>
          </w:tcPr>
          <w:p>
            <w:r>
              <w:rPr>
                <w:rFonts w:ascii="Times New Roman" w:hAnsi="Times New Roman"/>
                <w:color w:val="000000"/>
                <w:sz w:val="21"/>
              </w:rPr>
              <w:t>SMBC</w:t>
            </w:r>
          </w:p>
        </w:tc>
        <w:tc>
          <w:tcPr>
            <w:tcW w:type="dxa" w:w="2016"/>
            <w:vAlign w:val="center"/>
          </w:tcPr>
          <w:p>
            <w:r>
              <w:rPr>
                <w:rFonts w:ascii="Times New Roman" w:hAnsi="Times New Roman"/>
                <w:color w:val="000000"/>
                <w:sz w:val="21"/>
              </w:rPr>
              <w:t>4</w:t>
            </w:r>
          </w:p>
        </w:tc>
        <w:tc>
          <w:tcPr>
            <w:tcW w:type="dxa" w:w="2016"/>
            <w:vAlign w:val="center"/>
          </w:tcPr>
          <w:p>
            <w:r>
              <w:rPr>
                <w:rFonts w:ascii="Times New Roman" w:hAnsi="Times New Roman"/>
                <w:color w:val="000000"/>
                <w:sz w:val="21"/>
              </w:rPr>
              <w:t>22.38</w:t>
            </w:r>
          </w:p>
        </w:tc>
        <w:tc>
          <w:tcPr>
            <w:tcW w:type="dxa" w:w="2016"/>
            <w:vAlign w:val="center"/>
          </w:tcPr>
          <w:p>
            <w:r>
              <w:rPr>
                <w:rFonts w:ascii="Times New Roman" w:hAnsi="Times New Roman"/>
                <w:color w:val="000000"/>
                <w:sz w:val="21"/>
              </w:rPr>
              <w:t>18.72</w:t>
            </w:r>
          </w:p>
        </w:tc>
        <w:tc>
          <w:tcPr>
            <w:tcW w:type="dxa" w:w="2016"/>
            <w:vAlign w:val="center"/>
          </w:tcPr>
          <w:p>
            <w:r>
              <w:rPr>
                <w:rFonts w:ascii="Times New Roman" w:hAnsi="Times New Roman"/>
                <w:color w:val="000000"/>
                <w:sz w:val="21"/>
              </w:rPr>
              <w:t>3.05</w:t>
            </w:r>
          </w:p>
        </w:tc>
      </w:tr>
      <w:tr>
        <w:tc>
          <w:tcPr>
            <w:tcW w:type="dxa" w:w="2016"/>
            <w:vAlign w:val="center"/>
          </w:tcPr>
          <w:p>
            <w:r>
              <w:rPr>
                <w:rFonts w:ascii="Times New Roman" w:hAnsi="Times New Roman"/>
                <w:color w:val="000000"/>
                <w:sz w:val="21"/>
              </w:rPr>
              <w:t>HSBC</w:t>
            </w:r>
          </w:p>
        </w:tc>
        <w:tc>
          <w:tcPr>
            <w:tcW w:type="dxa" w:w="2016"/>
            <w:vAlign w:val="center"/>
          </w:tcPr>
          <w:p>
            <w:r>
              <w:rPr>
                <w:rFonts w:ascii="Times New Roman" w:hAnsi="Times New Roman"/>
                <w:color w:val="000000"/>
                <w:sz w:val="21"/>
              </w:rPr>
              <w:t>3</w:t>
            </w:r>
          </w:p>
        </w:tc>
        <w:tc>
          <w:tcPr>
            <w:tcW w:type="dxa" w:w="2016"/>
            <w:vAlign w:val="center"/>
          </w:tcPr>
          <w:p>
            <w:r>
              <w:rPr>
                <w:rFonts w:ascii="Times New Roman" w:hAnsi="Times New Roman"/>
                <w:color w:val="000000"/>
                <w:sz w:val="21"/>
              </w:rPr>
              <w:t>21.41</w:t>
            </w:r>
          </w:p>
        </w:tc>
        <w:tc>
          <w:tcPr>
            <w:tcW w:type="dxa" w:w="2016"/>
            <w:vAlign w:val="center"/>
          </w:tcPr>
          <w:p>
            <w:r>
              <w:rPr>
                <w:rFonts w:ascii="Times New Roman" w:hAnsi="Times New Roman"/>
                <w:color w:val="000000"/>
                <w:sz w:val="21"/>
              </w:rPr>
              <w:t>23.85</w:t>
            </w:r>
          </w:p>
        </w:tc>
        <w:tc>
          <w:tcPr>
            <w:tcW w:type="dxa" w:w="2016"/>
            <w:vAlign w:val="center"/>
          </w:tcPr>
          <w:p>
            <w:r>
              <w:rPr>
                <w:rFonts w:ascii="Times New Roman" w:hAnsi="Times New Roman"/>
                <w:color w:val="000000"/>
                <w:sz w:val="21"/>
              </w:rPr>
              <w:t>3.29</w:t>
            </w:r>
          </w:p>
        </w:tc>
      </w:tr>
      <w:tr>
        <w:tc>
          <w:tcPr>
            <w:tcW w:type="dxa" w:w="2016"/>
            <w:vAlign w:val="center"/>
          </w:tcPr>
          <w:p>
            <w:r>
              <w:rPr>
                <w:rFonts w:ascii="Times New Roman" w:hAnsi="Times New Roman"/>
                <w:color w:val="000000"/>
                <w:sz w:val="21"/>
              </w:rPr>
              <w:t>RBC</w:t>
            </w:r>
          </w:p>
        </w:tc>
        <w:tc>
          <w:tcPr>
            <w:tcW w:type="dxa" w:w="2016"/>
            <w:vAlign w:val="center"/>
          </w:tcPr>
          <w:p>
            <w:r>
              <w:rPr>
                <w:rFonts w:ascii="Times New Roman" w:hAnsi="Times New Roman"/>
                <w:color w:val="000000"/>
                <w:sz w:val="21"/>
              </w:rPr>
              <w:t>3</w:t>
            </w:r>
          </w:p>
        </w:tc>
        <w:tc>
          <w:tcPr>
            <w:tcW w:type="dxa" w:w="2016"/>
            <w:vAlign w:val="center"/>
          </w:tcPr>
          <w:p>
            <w:r>
              <w:rPr>
                <w:rFonts w:ascii="Times New Roman" w:hAnsi="Times New Roman"/>
                <w:color w:val="000000"/>
                <w:sz w:val="21"/>
              </w:rPr>
              <w:t>20.43</w:t>
            </w:r>
          </w:p>
        </w:tc>
        <w:tc>
          <w:tcPr>
            <w:tcW w:type="dxa" w:w="2016"/>
            <w:vAlign w:val="center"/>
          </w:tcPr>
          <w:p>
            <w:r>
              <w:rPr>
                <w:rFonts w:ascii="Times New Roman" w:hAnsi="Times New Roman"/>
                <w:color w:val="000000"/>
                <w:sz w:val="21"/>
              </w:rPr>
              <w:t>24.17</w:t>
            </w:r>
          </w:p>
        </w:tc>
        <w:tc>
          <w:tcPr>
            <w:tcW w:type="dxa" w:w="2016"/>
            <w:vAlign w:val="center"/>
          </w:tcPr>
          <w:p>
            <w:r>
              <w:rPr>
                <w:rFonts w:ascii="Times New Roman" w:hAnsi="Times New Roman"/>
                <w:color w:val="000000"/>
                <w:sz w:val="21"/>
              </w:rPr>
              <w:t>2.85</w:t>
            </w:r>
          </w:p>
        </w:tc>
      </w:tr>
      <w:tr>
        <w:tc>
          <w:tcPr>
            <w:tcW w:type="dxa" w:w="2016"/>
            <w:vAlign w:val="center"/>
          </w:tcPr>
          <w:p>
            <w:r>
              <w:rPr>
                <w:rFonts w:ascii="Times New Roman" w:hAnsi="Times New Roman"/>
                <w:color w:val="000000"/>
                <w:sz w:val="21"/>
              </w:rPr>
              <w:t>Westpac</w:t>
            </w:r>
          </w:p>
        </w:tc>
        <w:tc>
          <w:tcPr>
            <w:tcW w:type="dxa" w:w="2016"/>
            <w:vAlign w:val="center"/>
          </w:tcPr>
          <w:p>
            <w:r>
              <w:rPr>
                <w:rFonts w:ascii="Times New Roman" w:hAnsi="Times New Roman"/>
                <w:color w:val="000000"/>
                <w:sz w:val="21"/>
              </w:rPr>
              <w:t>3</w:t>
            </w:r>
          </w:p>
        </w:tc>
        <w:tc>
          <w:tcPr>
            <w:tcW w:type="dxa" w:w="2016"/>
            <w:vAlign w:val="center"/>
          </w:tcPr>
          <w:p>
            <w:r>
              <w:rPr>
                <w:rFonts w:ascii="Times New Roman" w:hAnsi="Times New Roman"/>
                <w:color w:val="000000"/>
                <w:sz w:val="21"/>
              </w:rPr>
              <w:t>17.26</w:t>
            </w:r>
          </w:p>
        </w:tc>
        <w:tc>
          <w:tcPr>
            <w:tcW w:type="dxa" w:w="2016"/>
            <w:vAlign w:val="center"/>
          </w:tcPr>
          <w:p>
            <w:r>
              <w:rPr>
                <w:rFonts w:ascii="Times New Roman" w:hAnsi="Times New Roman"/>
                <w:color w:val="000000"/>
                <w:sz w:val="21"/>
              </w:rPr>
              <w:t>14.92</w:t>
            </w:r>
          </w:p>
        </w:tc>
        <w:tc>
          <w:tcPr>
            <w:tcW w:type="dxa" w:w="2016"/>
            <w:vAlign w:val="center"/>
          </w:tcPr>
          <w:p>
            <w:r>
              <w:rPr>
                <w:rFonts w:ascii="Times New Roman" w:hAnsi="Times New Roman"/>
                <w:color w:val="000000"/>
                <w:sz w:val="21"/>
              </w:rPr>
              <w:t>2.99</w:t>
            </w:r>
          </w:p>
        </w:tc>
      </w:tr>
      <w:tr>
        <w:tc>
          <w:tcPr>
            <w:tcW w:type="dxa" w:w="2016"/>
            <w:vAlign w:val="center"/>
          </w:tcPr>
          <w:p>
            <w:r>
              <w:rPr>
                <w:rFonts w:ascii="Times New Roman" w:hAnsi="Times New Roman"/>
                <w:color w:val="000000"/>
                <w:sz w:val="21"/>
              </w:rPr>
              <w:t>Commerzbank</w:t>
            </w:r>
          </w:p>
        </w:tc>
        <w:tc>
          <w:tcPr>
            <w:tcW w:type="dxa" w:w="2016"/>
            <w:vAlign w:val="center"/>
          </w:tcPr>
          <w:p>
            <w:r>
              <w:rPr>
                <w:rFonts w:ascii="Times New Roman" w:hAnsi="Times New Roman"/>
                <w:color w:val="000000"/>
                <w:sz w:val="21"/>
              </w:rPr>
              <w:t>3</w:t>
            </w:r>
          </w:p>
        </w:tc>
        <w:tc>
          <w:tcPr>
            <w:tcW w:type="dxa" w:w="2016"/>
            <w:vAlign w:val="center"/>
          </w:tcPr>
          <w:p>
            <w:r>
              <w:rPr>
                <w:rFonts w:ascii="Times New Roman" w:hAnsi="Times New Roman"/>
                <w:color w:val="000000"/>
                <w:sz w:val="21"/>
              </w:rPr>
              <w:t>16.64</w:t>
            </w:r>
          </w:p>
        </w:tc>
        <w:tc>
          <w:tcPr>
            <w:tcW w:type="dxa" w:w="2016"/>
            <w:vAlign w:val="center"/>
          </w:tcPr>
          <w:p>
            <w:r>
              <w:rPr>
                <w:rFonts w:ascii="Times New Roman" w:hAnsi="Times New Roman"/>
                <w:color w:val="000000"/>
                <w:sz w:val="21"/>
              </w:rPr>
              <w:t>8.77</w:t>
            </w:r>
          </w:p>
        </w:tc>
        <w:tc>
          <w:tcPr>
            <w:tcW w:type="dxa" w:w="2016"/>
            <w:vAlign w:val="center"/>
          </w:tcPr>
          <w:p>
            <w:r>
              <w:rPr>
                <w:rFonts w:ascii="Times New Roman" w:hAnsi="Times New Roman"/>
                <w:color w:val="000000"/>
                <w:sz w:val="21"/>
              </w:rPr>
              <w:t>2.38</w:t>
            </w:r>
          </w:p>
        </w:tc>
      </w:tr>
    </w:tbl>
    <w:p>
      <w:pPr>
        <w:jc w:val="both"/>
      </w:pPr>
    </w:p>
    <w:p>
      <w:pPr>
        <w:jc w:val="both"/>
      </w:pPr>
      <w:r>
        <w:rPr>
          <w:rFonts w:ascii="Times New Roman" w:hAnsi="Times New Roman"/>
          <w:color w:val="000000"/>
          <w:sz w:val="22"/>
        </w:rPr>
        <w:t>Bank of America has the highest recorded AI spending among the banks in this dataset, with USD 33.39 million. Credit Suisse and Societe Generale follow with USD 28.11 million and USD 27.43 million respectively.</w:t>
      </w:r>
    </w:p>
    <w:p>
      <w:pPr>
        <w:spacing w:before="160" w:after="100"/>
        <w:jc w:val="left"/>
      </w:pPr>
      <w:r>
        <w:rPr>
          <w:rFonts w:ascii="Times New Roman" w:hAnsi="Times New Roman"/>
          <w:b/>
          <w:color w:val="000000"/>
          <w:sz w:val="26"/>
        </w:rPr>
        <w:t>13. AI Use Case Analysis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7E6E6"/>
          </w:tcPr>
          <w:p>
            <w:r>
              <w:rPr>
                <w:rFonts w:ascii="Times New Roman" w:hAnsi="Times New Roman"/>
                <w:b/>
                <w:color w:val="000000"/>
                <w:sz w:val="21"/>
              </w:rPr>
              <w:t>AI Use Case</w:t>
            </w:r>
          </w:p>
        </w:tc>
        <w:tc>
          <w:tcPr>
            <w:tcW w:type="dxa" w:w="1680"/>
            <w:shd w:fill="E7E6E6"/>
          </w:tcPr>
          <w:p>
            <w:r>
              <w:rPr>
                <w:rFonts w:ascii="Times New Roman" w:hAnsi="Times New Roman"/>
                <w:b/>
                <w:color w:val="000000"/>
                <w:sz w:val="21"/>
              </w:rPr>
              <w:t>Records</w:t>
            </w:r>
          </w:p>
        </w:tc>
        <w:tc>
          <w:tcPr>
            <w:tcW w:type="dxa" w:w="1680"/>
            <w:shd w:fill="E7E6E6"/>
          </w:tcPr>
          <w:p>
            <w:r>
              <w:rPr>
                <w:rFonts w:ascii="Times New Roman" w:hAnsi="Times New Roman"/>
                <w:b/>
                <w:color w:val="000000"/>
                <w:sz w:val="21"/>
              </w:rPr>
              <w:t>Spend (USD M)</w:t>
            </w:r>
          </w:p>
        </w:tc>
        <w:tc>
          <w:tcPr>
            <w:tcW w:type="dxa" w:w="1680"/>
            <w:shd w:fill="E7E6E6"/>
          </w:tcPr>
          <w:p>
            <w:r>
              <w:rPr>
                <w:rFonts w:ascii="Times New Roman" w:hAnsi="Times New Roman"/>
                <w:b/>
                <w:color w:val="000000"/>
                <w:sz w:val="21"/>
              </w:rPr>
              <w:t>Savings (USD M)</w:t>
            </w:r>
          </w:p>
        </w:tc>
        <w:tc>
          <w:tcPr>
            <w:tcW w:type="dxa" w:w="1680"/>
            <w:shd w:fill="E7E6E6"/>
          </w:tcPr>
          <w:p>
            <w:r>
              <w:rPr>
                <w:rFonts w:ascii="Times New Roman" w:hAnsi="Times New Roman"/>
                <w:b/>
                <w:color w:val="000000"/>
                <w:sz w:val="21"/>
              </w:rPr>
              <w:t>Projects</w:t>
            </w:r>
          </w:p>
        </w:tc>
        <w:tc>
          <w:tcPr>
            <w:tcW w:type="dxa" w:w="1680"/>
            <w:shd w:fill="E7E6E6"/>
          </w:tcPr>
          <w:p>
            <w:r>
              <w:rPr>
                <w:rFonts w:ascii="Times New Roman" w:hAnsi="Times New Roman"/>
                <w:b/>
                <w:color w:val="000000"/>
                <w:sz w:val="21"/>
              </w:rPr>
              <w:t>Avg ROI</w:t>
            </w:r>
          </w:p>
        </w:tc>
      </w:tr>
      <w:tr>
        <w:tc>
          <w:tcPr>
            <w:tcW w:type="dxa" w:w="1680"/>
            <w:vAlign w:val="center"/>
          </w:tcPr>
          <w:p>
            <w:r>
              <w:rPr>
                <w:rFonts w:ascii="Times New Roman" w:hAnsi="Times New Roman"/>
                <w:color w:val="000000"/>
                <w:sz w:val="21"/>
              </w:rPr>
              <w:t>Credit Risk &amp; Underwriting</w:t>
            </w:r>
          </w:p>
        </w:tc>
        <w:tc>
          <w:tcPr>
            <w:tcW w:type="dxa" w:w="1680"/>
            <w:vAlign w:val="center"/>
          </w:tcPr>
          <w:p>
            <w:r>
              <w:rPr>
                <w:rFonts w:ascii="Times New Roman" w:hAnsi="Times New Roman"/>
                <w:color w:val="000000"/>
                <w:sz w:val="21"/>
              </w:rPr>
              <w:t>9</w:t>
            </w:r>
          </w:p>
        </w:tc>
        <w:tc>
          <w:tcPr>
            <w:tcW w:type="dxa" w:w="1680"/>
            <w:vAlign w:val="center"/>
          </w:tcPr>
          <w:p>
            <w:r>
              <w:rPr>
                <w:rFonts w:ascii="Times New Roman" w:hAnsi="Times New Roman"/>
                <w:color w:val="000000"/>
                <w:sz w:val="21"/>
              </w:rPr>
              <w:t>58.86</w:t>
            </w:r>
          </w:p>
        </w:tc>
        <w:tc>
          <w:tcPr>
            <w:tcW w:type="dxa" w:w="1680"/>
            <w:vAlign w:val="center"/>
          </w:tcPr>
          <w:p>
            <w:r>
              <w:rPr>
                <w:rFonts w:ascii="Times New Roman" w:hAnsi="Times New Roman"/>
                <w:color w:val="000000"/>
                <w:sz w:val="21"/>
              </w:rPr>
              <w:t>52.80</w:t>
            </w:r>
          </w:p>
        </w:tc>
        <w:tc>
          <w:tcPr>
            <w:tcW w:type="dxa" w:w="1680"/>
            <w:vAlign w:val="center"/>
          </w:tcPr>
          <w:p>
            <w:r>
              <w:rPr>
                <w:rFonts w:ascii="Times New Roman" w:hAnsi="Times New Roman"/>
                <w:color w:val="000000"/>
                <w:sz w:val="21"/>
              </w:rPr>
              <w:t>65</w:t>
            </w:r>
          </w:p>
        </w:tc>
        <w:tc>
          <w:tcPr>
            <w:tcW w:type="dxa" w:w="1680"/>
            <w:vAlign w:val="center"/>
          </w:tcPr>
          <w:p>
            <w:r>
              <w:rPr>
                <w:rFonts w:ascii="Times New Roman" w:hAnsi="Times New Roman"/>
                <w:color w:val="000000"/>
                <w:sz w:val="21"/>
              </w:rPr>
              <w:t>2.95</w:t>
            </w:r>
          </w:p>
        </w:tc>
      </w:tr>
      <w:tr>
        <w:tc>
          <w:tcPr>
            <w:tcW w:type="dxa" w:w="1680"/>
            <w:vAlign w:val="center"/>
          </w:tcPr>
          <w:p>
            <w:r>
              <w:rPr>
                <w:rFonts w:ascii="Times New Roman" w:hAnsi="Times New Roman"/>
                <w:color w:val="000000"/>
                <w:sz w:val="21"/>
              </w:rPr>
              <w:t>Back-office Workflow</w:t>
            </w:r>
          </w:p>
        </w:tc>
        <w:tc>
          <w:tcPr>
            <w:tcW w:type="dxa" w:w="1680"/>
            <w:vAlign w:val="center"/>
          </w:tcPr>
          <w:p>
            <w:r>
              <w:rPr>
                <w:rFonts w:ascii="Times New Roman" w:hAnsi="Times New Roman"/>
                <w:color w:val="000000"/>
                <w:sz w:val="21"/>
              </w:rPr>
              <w:t>8</w:t>
            </w:r>
          </w:p>
        </w:tc>
        <w:tc>
          <w:tcPr>
            <w:tcW w:type="dxa" w:w="1680"/>
            <w:vAlign w:val="center"/>
          </w:tcPr>
          <w:p>
            <w:r>
              <w:rPr>
                <w:rFonts w:ascii="Times New Roman" w:hAnsi="Times New Roman"/>
                <w:color w:val="000000"/>
                <w:sz w:val="21"/>
              </w:rPr>
              <w:t>54.57</w:t>
            </w:r>
          </w:p>
        </w:tc>
        <w:tc>
          <w:tcPr>
            <w:tcW w:type="dxa" w:w="1680"/>
            <w:vAlign w:val="center"/>
          </w:tcPr>
          <w:p>
            <w:r>
              <w:rPr>
                <w:rFonts w:ascii="Times New Roman" w:hAnsi="Times New Roman"/>
                <w:color w:val="000000"/>
                <w:sz w:val="21"/>
              </w:rPr>
              <w:t>43.05</w:t>
            </w:r>
          </w:p>
        </w:tc>
        <w:tc>
          <w:tcPr>
            <w:tcW w:type="dxa" w:w="1680"/>
            <w:vAlign w:val="center"/>
          </w:tcPr>
          <w:p>
            <w:r>
              <w:rPr>
                <w:rFonts w:ascii="Times New Roman" w:hAnsi="Times New Roman"/>
                <w:color w:val="000000"/>
                <w:sz w:val="21"/>
              </w:rPr>
              <w:t>91</w:t>
            </w:r>
          </w:p>
        </w:tc>
        <w:tc>
          <w:tcPr>
            <w:tcW w:type="dxa" w:w="1680"/>
            <w:vAlign w:val="center"/>
          </w:tcPr>
          <w:p>
            <w:r>
              <w:rPr>
                <w:rFonts w:ascii="Times New Roman" w:hAnsi="Times New Roman"/>
                <w:color w:val="000000"/>
                <w:sz w:val="21"/>
              </w:rPr>
              <w:t>2.62</w:t>
            </w:r>
          </w:p>
        </w:tc>
      </w:tr>
      <w:tr>
        <w:tc>
          <w:tcPr>
            <w:tcW w:type="dxa" w:w="1680"/>
            <w:vAlign w:val="center"/>
          </w:tcPr>
          <w:p>
            <w:r>
              <w:rPr>
                <w:rFonts w:ascii="Times New Roman" w:hAnsi="Times New Roman"/>
                <w:color w:val="000000"/>
                <w:sz w:val="21"/>
              </w:rPr>
              <w:t>IT Operations</w:t>
            </w:r>
          </w:p>
        </w:tc>
        <w:tc>
          <w:tcPr>
            <w:tcW w:type="dxa" w:w="1680"/>
            <w:vAlign w:val="center"/>
          </w:tcPr>
          <w:p>
            <w:r>
              <w:rPr>
                <w:rFonts w:ascii="Times New Roman" w:hAnsi="Times New Roman"/>
                <w:color w:val="000000"/>
                <w:sz w:val="21"/>
              </w:rPr>
              <w:t>9</w:t>
            </w:r>
          </w:p>
        </w:tc>
        <w:tc>
          <w:tcPr>
            <w:tcW w:type="dxa" w:w="1680"/>
            <w:vAlign w:val="center"/>
          </w:tcPr>
          <w:p>
            <w:r>
              <w:rPr>
                <w:rFonts w:ascii="Times New Roman" w:hAnsi="Times New Roman"/>
                <w:color w:val="000000"/>
                <w:sz w:val="21"/>
              </w:rPr>
              <w:t>45.26</w:t>
            </w:r>
          </w:p>
        </w:tc>
        <w:tc>
          <w:tcPr>
            <w:tcW w:type="dxa" w:w="1680"/>
            <w:vAlign w:val="center"/>
          </w:tcPr>
          <w:p>
            <w:r>
              <w:rPr>
                <w:rFonts w:ascii="Times New Roman" w:hAnsi="Times New Roman"/>
                <w:color w:val="000000"/>
                <w:sz w:val="21"/>
              </w:rPr>
              <w:t>48.71</w:t>
            </w:r>
          </w:p>
        </w:tc>
        <w:tc>
          <w:tcPr>
            <w:tcW w:type="dxa" w:w="1680"/>
            <w:vAlign w:val="center"/>
          </w:tcPr>
          <w:p>
            <w:r>
              <w:rPr>
                <w:rFonts w:ascii="Times New Roman" w:hAnsi="Times New Roman"/>
                <w:color w:val="000000"/>
                <w:sz w:val="21"/>
              </w:rPr>
              <w:t>76</w:t>
            </w:r>
          </w:p>
        </w:tc>
        <w:tc>
          <w:tcPr>
            <w:tcW w:type="dxa" w:w="1680"/>
            <w:vAlign w:val="center"/>
          </w:tcPr>
          <w:p>
            <w:r>
              <w:rPr>
                <w:rFonts w:ascii="Times New Roman" w:hAnsi="Times New Roman"/>
                <w:color w:val="000000"/>
                <w:sz w:val="21"/>
              </w:rPr>
              <w:t>2.83</w:t>
            </w:r>
          </w:p>
        </w:tc>
      </w:tr>
      <w:tr>
        <w:tc>
          <w:tcPr>
            <w:tcW w:type="dxa" w:w="1680"/>
            <w:vAlign w:val="center"/>
          </w:tcPr>
          <w:p>
            <w:r>
              <w:rPr>
                <w:rFonts w:ascii="Times New Roman" w:hAnsi="Times New Roman"/>
                <w:color w:val="000000"/>
                <w:sz w:val="21"/>
              </w:rPr>
              <w:t>Code Generation</w:t>
            </w:r>
          </w:p>
        </w:tc>
        <w:tc>
          <w:tcPr>
            <w:tcW w:type="dxa" w:w="1680"/>
            <w:vAlign w:val="center"/>
          </w:tcPr>
          <w:p>
            <w:r>
              <w:rPr>
                <w:rFonts w:ascii="Times New Roman" w:hAnsi="Times New Roman"/>
                <w:color w:val="000000"/>
                <w:sz w:val="21"/>
              </w:rPr>
              <w:t>7</w:t>
            </w:r>
          </w:p>
        </w:tc>
        <w:tc>
          <w:tcPr>
            <w:tcW w:type="dxa" w:w="1680"/>
            <w:vAlign w:val="center"/>
          </w:tcPr>
          <w:p>
            <w:r>
              <w:rPr>
                <w:rFonts w:ascii="Times New Roman" w:hAnsi="Times New Roman"/>
                <w:color w:val="000000"/>
                <w:sz w:val="21"/>
              </w:rPr>
              <w:t>45.11</w:t>
            </w:r>
          </w:p>
        </w:tc>
        <w:tc>
          <w:tcPr>
            <w:tcW w:type="dxa" w:w="1680"/>
            <w:vAlign w:val="center"/>
          </w:tcPr>
          <w:p>
            <w:r>
              <w:rPr>
                <w:rFonts w:ascii="Times New Roman" w:hAnsi="Times New Roman"/>
                <w:color w:val="000000"/>
                <w:sz w:val="21"/>
              </w:rPr>
              <w:t>31.92</w:t>
            </w:r>
          </w:p>
        </w:tc>
        <w:tc>
          <w:tcPr>
            <w:tcW w:type="dxa" w:w="1680"/>
            <w:vAlign w:val="center"/>
          </w:tcPr>
          <w:p>
            <w:r>
              <w:rPr>
                <w:rFonts w:ascii="Times New Roman" w:hAnsi="Times New Roman"/>
                <w:color w:val="000000"/>
                <w:sz w:val="21"/>
              </w:rPr>
              <w:t>75</w:t>
            </w:r>
          </w:p>
        </w:tc>
        <w:tc>
          <w:tcPr>
            <w:tcW w:type="dxa" w:w="1680"/>
            <w:vAlign w:val="center"/>
          </w:tcPr>
          <w:p>
            <w:r>
              <w:rPr>
                <w:rFonts w:ascii="Times New Roman" w:hAnsi="Times New Roman"/>
                <w:color w:val="000000"/>
                <w:sz w:val="21"/>
              </w:rPr>
              <w:t>2.93</w:t>
            </w:r>
          </w:p>
        </w:tc>
      </w:tr>
      <w:tr>
        <w:tc>
          <w:tcPr>
            <w:tcW w:type="dxa" w:w="1680"/>
            <w:vAlign w:val="center"/>
          </w:tcPr>
          <w:p>
            <w:r>
              <w:rPr>
                <w:rFonts w:ascii="Times New Roman" w:hAnsi="Times New Roman"/>
                <w:color w:val="000000"/>
                <w:sz w:val="21"/>
              </w:rPr>
              <w:t>Document Processing</w:t>
            </w:r>
          </w:p>
        </w:tc>
        <w:tc>
          <w:tcPr>
            <w:tcW w:type="dxa" w:w="1680"/>
            <w:vAlign w:val="center"/>
          </w:tcPr>
          <w:p>
            <w:r>
              <w:rPr>
                <w:rFonts w:ascii="Times New Roman" w:hAnsi="Times New Roman"/>
                <w:color w:val="000000"/>
                <w:sz w:val="21"/>
              </w:rPr>
              <w:t>9</w:t>
            </w:r>
          </w:p>
        </w:tc>
        <w:tc>
          <w:tcPr>
            <w:tcW w:type="dxa" w:w="1680"/>
            <w:vAlign w:val="center"/>
          </w:tcPr>
          <w:p>
            <w:r>
              <w:rPr>
                <w:rFonts w:ascii="Times New Roman" w:hAnsi="Times New Roman"/>
                <w:color w:val="000000"/>
                <w:sz w:val="21"/>
              </w:rPr>
              <w:t>43.90</w:t>
            </w:r>
          </w:p>
        </w:tc>
        <w:tc>
          <w:tcPr>
            <w:tcW w:type="dxa" w:w="1680"/>
            <w:vAlign w:val="center"/>
          </w:tcPr>
          <w:p>
            <w:r>
              <w:rPr>
                <w:rFonts w:ascii="Times New Roman" w:hAnsi="Times New Roman"/>
                <w:color w:val="000000"/>
                <w:sz w:val="21"/>
              </w:rPr>
              <w:t>56.53</w:t>
            </w:r>
          </w:p>
        </w:tc>
        <w:tc>
          <w:tcPr>
            <w:tcW w:type="dxa" w:w="1680"/>
            <w:vAlign w:val="center"/>
          </w:tcPr>
          <w:p>
            <w:r>
              <w:rPr>
                <w:rFonts w:ascii="Times New Roman" w:hAnsi="Times New Roman"/>
                <w:color w:val="000000"/>
                <w:sz w:val="21"/>
              </w:rPr>
              <w:t>73</w:t>
            </w:r>
          </w:p>
        </w:tc>
        <w:tc>
          <w:tcPr>
            <w:tcW w:type="dxa" w:w="1680"/>
            <w:vAlign w:val="center"/>
          </w:tcPr>
          <w:p>
            <w:r>
              <w:rPr>
                <w:rFonts w:ascii="Times New Roman" w:hAnsi="Times New Roman"/>
                <w:color w:val="000000"/>
                <w:sz w:val="21"/>
              </w:rPr>
              <w:t>3.61</w:t>
            </w:r>
          </w:p>
        </w:tc>
      </w:tr>
      <w:tr>
        <w:tc>
          <w:tcPr>
            <w:tcW w:type="dxa" w:w="1680"/>
            <w:vAlign w:val="center"/>
          </w:tcPr>
          <w:p>
            <w:r>
              <w:rPr>
                <w:rFonts w:ascii="Times New Roman" w:hAnsi="Times New Roman"/>
                <w:color w:val="000000"/>
                <w:sz w:val="21"/>
              </w:rPr>
              <w:t>AML Monitoring</w:t>
            </w:r>
          </w:p>
        </w:tc>
        <w:tc>
          <w:tcPr>
            <w:tcW w:type="dxa" w:w="1680"/>
            <w:vAlign w:val="center"/>
          </w:tcPr>
          <w:p>
            <w:r>
              <w:rPr>
                <w:rFonts w:ascii="Times New Roman" w:hAnsi="Times New Roman"/>
                <w:color w:val="000000"/>
                <w:sz w:val="21"/>
              </w:rPr>
              <w:t>6</w:t>
            </w:r>
          </w:p>
        </w:tc>
        <w:tc>
          <w:tcPr>
            <w:tcW w:type="dxa" w:w="1680"/>
            <w:vAlign w:val="center"/>
          </w:tcPr>
          <w:p>
            <w:r>
              <w:rPr>
                <w:rFonts w:ascii="Times New Roman" w:hAnsi="Times New Roman"/>
                <w:color w:val="000000"/>
                <w:sz w:val="21"/>
              </w:rPr>
              <w:t>39.46</w:t>
            </w:r>
          </w:p>
        </w:tc>
        <w:tc>
          <w:tcPr>
            <w:tcW w:type="dxa" w:w="1680"/>
            <w:vAlign w:val="center"/>
          </w:tcPr>
          <w:p>
            <w:r>
              <w:rPr>
                <w:rFonts w:ascii="Times New Roman" w:hAnsi="Times New Roman"/>
                <w:color w:val="000000"/>
                <w:sz w:val="21"/>
              </w:rPr>
              <w:t>38.45</w:t>
            </w:r>
          </w:p>
        </w:tc>
        <w:tc>
          <w:tcPr>
            <w:tcW w:type="dxa" w:w="1680"/>
            <w:vAlign w:val="center"/>
          </w:tcPr>
          <w:p>
            <w:r>
              <w:rPr>
                <w:rFonts w:ascii="Times New Roman" w:hAnsi="Times New Roman"/>
                <w:color w:val="000000"/>
                <w:sz w:val="21"/>
              </w:rPr>
              <w:t>62</w:t>
            </w:r>
          </w:p>
        </w:tc>
        <w:tc>
          <w:tcPr>
            <w:tcW w:type="dxa" w:w="1680"/>
            <w:vAlign w:val="center"/>
          </w:tcPr>
          <w:p>
            <w:r>
              <w:rPr>
                <w:rFonts w:ascii="Times New Roman" w:hAnsi="Times New Roman"/>
                <w:color w:val="000000"/>
                <w:sz w:val="21"/>
              </w:rPr>
              <w:t>2.53</w:t>
            </w:r>
          </w:p>
        </w:tc>
      </w:tr>
      <w:tr>
        <w:tc>
          <w:tcPr>
            <w:tcW w:type="dxa" w:w="1680"/>
            <w:vAlign w:val="center"/>
          </w:tcPr>
          <w:p>
            <w:r>
              <w:rPr>
                <w:rFonts w:ascii="Times New Roman" w:hAnsi="Times New Roman"/>
                <w:color w:val="000000"/>
                <w:sz w:val="21"/>
              </w:rPr>
              <w:t>Marketing Personalization</w:t>
            </w:r>
          </w:p>
        </w:tc>
        <w:tc>
          <w:tcPr>
            <w:tcW w:type="dxa" w:w="1680"/>
            <w:vAlign w:val="center"/>
          </w:tcPr>
          <w:p>
            <w:r>
              <w:rPr>
                <w:rFonts w:ascii="Times New Roman" w:hAnsi="Times New Roman"/>
                <w:color w:val="000000"/>
                <w:sz w:val="21"/>
              </w:rPr>
              <w:t>7</w:t>
            </w:r>
          </w:p>
        </w:tc>
        <w:tc>
          <w:tcPr>
            <w:tcW w:type="dxa" w:w="1680"/>
            <w:vAlign w:val="center"/>
          </w:tcPr>
          <w:p>
            <w:r>
              <w:rPr>
                <w:rFonts w:ascii="Times New Roman" w:hAnsi="Times New Roman"/>
                <w:color w:val="000000"/>
                <w:sz w:val="21"/>
              </w:rPr>
              <w:t>37.09</w:t>
            </w:r>
          </w:p>
        </w:tc>
        <w:tc>
          <w:tcPr>
            <w:tcW w:type="dxa" w:w="1680"/>
            <w:vAlign w:val="center"/>
          </w:tcPr>
          <w:p>
            <w:r>
              <w:rPr>
                <w:rFonts w:ascii="Times New Roman" w:hAnsi="Times New Roman"/>
                <w:color w:val="000000"/>
                <w:sz w:val="21"/>
              </w:rPr>
              <w:t>44.07</w:t>
            </w:r>
          </w:p>
        </w:tc>
        <w:tc>
          <w:tcPr>
            <w:tcW w:type="dxa" w:w="1680"/>
            <w:vAlign w:val="center"/>
          </w:tcPr>
          <w:p>
            <w:r>
              <w:rPr>
                <w:rFonts w:ascii="Times New Roman" w:hAnsi="Times New Roman"/>
                <w:color w:val="000000"/>
                <w:sz w:val="21"/>
              </w:rPr>
              <w:t>64</w:t>
            </w:r>
          </w:p>
        </w:tc>
        <w:tc>
          <w:tcPr>
            <w:tcW w:type="dxa" w:w="1680"/>
            <w:vAlign w:val="center"/>
          </w:tcPr>
          <w:p>
            <w:r>
              <w:rPr>
                <w:rFonts w:ascii="Times New Roman" w:hAnsi="Times New Roman"/>
                <w:color w:val="000000"/>
                <w:sz w:val="21"/>
              </w:rPr>
              <w:t>3.26</w:t>
            </w:r>
          </w:p>
        </w:tc>
      </w:tr>
      <w:tr>
        <w:tc>
          <w:tcPr>
            <w:tcW w:type="dxa" w:w="1680"/>
            <w:vAlign w:val="center"/>
          </w:tcPr>
          <w:p>
            <w:r>
              <w:rPr>
                <w:rFonts w:ascii="Times New Roman" w:hAnsi="Times New Roman"/>
                <w:color w:val="000000"/>
                <w:sz w:val="21"/>
              </w:rPr>
              <w:t>Customer Service Chatbot</w:t>
            </w:r>
          </w:p>
        </w:tc>
        <w:tc>
          <w:tcPr>
            <w:tcW w:type="dxa" w:w="1680"/>
            <w:vAlign w:val="center"/>
          </w:tcPr>
          <w:p>
            <w:r>
              <w:rPr>
                <w:rFonts w:ascii="Times New Roman" w:hAnsi="Times New Roman"/>
                <w:color w:val="000000"/>
                <w:sz w:val="21"/>
              </w:rPr>
              <w:t>8</w:t>
            </w:r>
          </w:p>
        </w:tc>
        <w:tc>
          <w:tcPr>
            <w:tcW w:type="dxa" w:w="1680"/>
            <w:vAlign w:val="center"/>
          </w:tcPr>
          <w:p>
            <w:r>
              <w:rPr>
                <w:rFonts w:ascii="Times New Roman" w:hAnsi="Times New Roman"/>
                <w:color w:val="000000"/>
                <w:sz w:val="21"/>
              </w:rPr>
              <w:t>32.20</w:t>
            </w:r>
          </w:p>
        </w:tc>
        <w:tc>
          <w:tcPr>
            <w:tcW w:type="dxa" w:w="1680"/>
            <w:vAlign w:val="center"/>
          </w:tcPr>
          <w:p>
            <w:r>
              <w:rPr>
                <w:rFonts w:ascii="Times New Roman" w:hAnsi="Times New Roman"/>
                <w:color w:val="000000"/>
                <w:sz w:val="21"/>
              </w:rPr>
              <w:t>45.85</w:t>
            </w:r>
          </w:p>
        </w:tc>
        <w:tc>
          <w:tcPr>
            <w:tcW w:type="dxa" w:w="1680"/>
            <w:vAlign w:val="center"/>
          </w:tcPr>
          <w:p>
            <w:r>
              <w:rPr>
                <w:rFonts w:ascii="Times New Roman" w:hAnsi="Times New Roman"/>
                <w:color w:val="000000"/>
                <w:sz w:val="21"/>
              </w:rPr>
              <w:t>76</w:t>
            </w:r>
          </w:p>
        </w:tc>
        <w:tc>
          <w:tcPr>
            <w:tcW w:type="dxa" w:w="1680"/>
            <w:vAlign w:val="center"/>
          </w:tcPr>
          <w:p>
            <w:r>
              <w:rPr>
                <w:rFonts w:ascii="Times New Roman" w:hAnsi="Times New Roman"/>
                <w:color w:val="000000"/>
                <w:sz w:val="21"/>
              </w:rPr>
              <w:t>3.36</w:t>
            </w:r>
          </w:p>
        </w:tc>
      </w:tr>
      <w:tr>
        <w:tc>
          <w:tcPr>
            <w:tcW w:type="dxa" w:w="1680"/>
            <w:vAlign w:val="center"/>
          </w:tcPr>
          <w:p>
            <w:r>
              <w:rPr>
                <w:rFonts w:ascii="Times New Roman" w:hAnsi="Times New Roman"/>
                <w:color w:val="000000"/>
                <w:sz w:val="21"/>
              </w:rPr>
              <w:t>KYC Automation</w:t>
            </w:r>
          </w:p>
        </w:tc>
        <w:tc>
          <w:tcPr>
            <w:tcW w:type="dxa" w:w="1680"/>
            <w:vAlign w:val="center"/>
          </w:tcPr>
          <w:p>
            <w:r>
              <w:rPr>
                <w:rFonts w:ascii="Times New Roman" w:hAnsi="Times New Roman"/>
                <w:color w:val="000000"/>
                <w:sz w:val="21"/>
              </w:rPr>
              <w:t>4</w:t>
            </w:r>
          </w:p>
        </w:tc>
        <w:tc>
          <w:tcPr>
            <w:tcW w:type="dxa" w:w="1680"/>
            <w:vAlign w:val="center"/>
          </w:tcPr>
          <w:p>
            <w:r>
              <w:rPr>
                <w:rFonts w:ascii="Times New Roman" w:hAnsi="Times New Roman"/>
                <w:color w:val="000000"/>
                <w:sz w:val="21"/>
              </w:rPr>
              <w:t>23.90</w:t>
            </w:r>
          </w:p>
        </w:tc>
        <w:tc>
          <w:tcPr>
            <w:tcW w:type="dxa" w:w="1680"/>
            <w:vAlign w:val="center"/>
          </w:tcPr>
          <w:p>
            <w:r>
              <w:rPr>
                <w:rFonts w:ascii="Times New Roman" w:hAnsi="Times New Roman"/>
                <w:color w:val="000000"/>
                <w:sz w:val="21"/>
              </w:rPr>
              <w:t>26.72</w:t>
            </w:r>
          </w:p>
        </w:tc>
        <w:tc>
          <w:tcPr>
            <w:tcW w:type="dxa" w:w="1680"/>
            <w:vAlign w:val="center"/>
          </w:tcPr>
          <w:p>
            <w:r>
              <w:rPr>
                <w:rFonts w:ascii="Times New Roman" w:hAnsi="Times New Roman"/>
                <w:color w:val="000000"/>
                <w:sz w:val="21"/>
              </w:rPr>
              <w:t>56</w:t>
            </w:r>
          </w:p>
        </w:tc>
        <w:tc>
          <w:tcPr>
            <w:tcW w:type="dxa" w:w="1680"/>
            <w:vAlign w:val="center"/>
          </w:tcPr>
          <w:p>
            <w:r>
              <w:rPr>
                <w:rFonts w:ascii="Times New Roman" w:hAnsi="Times New Roman"/>
                <w:color w:val="000000"/>
                <w:sz w:val="21"/>
              </w:rPr>
              <w:t>3.02</w:t>
            </w:r>
          </w:p>
        </w:tc>
      </w:tr>
      <w:tr>
        <w:tc>
          <w:tcPr>
            <w:tcW w:type="dxa" w:w="1680"/>
            <w:vAlign w:val="center"/>
          </w:tcPr>
          <w:p>
            <w:r>
              <w:rPr>
                <w:rFonts w:ascii="Times New Roman" w:hAnsi="Times New Roman"/>
                <w:color w:val="000000"/>
                <w:sz w:val="21"/>
              </w:rPr>
              <w:t>Fraud Detection</w:t>
            </w:r>
          </w:p>
        </w:tc>
        <w:tc>
          <w:tcPr>
            <w:tcW w:type="dxa" w:w="1680"/>
            <w:vAlign w:val="center"/>
          </w:tcPr>
          <w:p>
            <w:r>
              <w:rPr>
                <w:rFonts w:ascii="Times New Roman" w:hAnsi="Times New Roman"/>
                <w:color w:val="000000"/>
                <w:sz w:val="21"/>
              </w:rPr>
              <w:t>5</w:t>
            </w:r>
          </w:p>
        </w:tc>
        <w:tc>
          <w:tcPr>
            <w:tcW w:type="dxa" w:w="1680"/>
            <w:vAlign w:val="center"/>
          </w:tcPr>
          <w:p>
            <w:r>
              <w:rPr>
                <w:rFonts w:ascii="Times New Roman" w:hAnsi="Times New Roman"/>
                <w:color w:val="000000"/>
                <w:sz w:val="21"/>
              </w:rPr>
              <w:t>14.96</w:t>
            </w:r>
          </w:p>
        </w:tc>
        <w:tc>
          <w:tcPr>
            <w:tcW w:type="dxa" w:w="1680"/>
            <w:vAlign w:val="center"/>
          </w:tcPr>
          <w:p>
            <w:r>
              <w:rPr>
                <w:rFonts w:ascii="Times New Roman" w:hAnsi="Times New Roman"/>
                <w:color w:val="000000"/>
                <w:sz w:val="21"/>
              </w:rPr>
              <w:t>15.27</w:t>
            </w:r>
          </w:p>
        </w:tc>
        <w:tc>
          <w:tcPr>
            <w:tcW w:type="dxa" w:w="1680"/>
            <w:vAlign w:val="center"/>
          </w:tcPr>
          <w:p>
            <w:r>
              <w:rPr>
                <w:rFonts w:ascii="Times New Roman" w:hAnsi="Times New Roman"/>
                <w:color w:val="000000"/>
                <w:sz w:val="21"/>
              </w:rPr>
              <w:t>37</w:t>
            </w:r>
          </w:p>
        </w:tc>
        <w:tc>
          <w:tcPr>
            <w:tcW w:type="dxa" w:w="1680"/>
            <w:vAlign w:val="center"/>
          </w:tcPr>
          <w:p>
            <w:r>
              <w:rPr>
                <w:rFonts w:ascii="Times New Roman" w:hAnsi="Times New Roman"/>
                <w:color w:val="000000"/>
                <w:sz w:val="21"/>
              </w:rPr>
              <w:t>3.11</w:t>
            </w:r>
          </w:p>
        </w:tc>
      </w:tr>
    </w:tbl>
    <w:p>
      <w:pPr>
        <w:jc w:val="both"/>
      </w:pPr>
    </w:p>
    <w:p>
      <w:pPr>
        <w:jc w:val="both"/>
      </w:pPr>
      <w:r>
        <w:rPr>
          <w:rFonts w:ascii="Times New Roman" w:hAnsi="Times New Roman"/>
          <w:color w:val="000000"/>
          <w:sz w:val="22"/>
        </w:rPr>
        <w:t>Credit Risk &amp; Underwriting has the highest recorded AI spending at USD 58.86 million. Back-office Workflow has the highest combined number of AI projects at 91. Document Processing shows a strong average ROI of 3.61x in the supplied records.</w:t>
      </w:r>
    </w:p>
    <w:p>
      <w:pPr>
        <w:spacing w:before="160" w:after="100"/>
        <w:jc w:val="left"/>
      </w:pPr>
      <w:r>
        <w:rPr>
          <w:rFonts w:ascii="Times New Roman" w:hAnsi="Times New Roman"/>
          <w:b/>
          <w:color w:val="000000"/>
          <w:sz w:val="26"/>
        </w:rPr>
        <w:t>14. Technology-wise Analysis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7E6E6"/>
          </w:tcPr>
          <w:p>
            <w:r>
              <w:rPr>
                <w:rFonts w:ascii="Times New Roman" w:hAnsi="Times New Roman"/>
                <w:b/>
                <w:color w:val="000000"/>
                <w:sz w:val="21"/>
              </w:rPr>
              <w:t>Technology</w:t>
            </w:r>
          </w:p>
        </w:tc>
        <w:tc>
          <w:tcPr>
            <w:tcW w:type="dxa" w:w="1680"/>
            <w:shd w:fill="E7E6E6"/>
          </w:tcPr>
          <w:p>
            <w:r>
              <w:rPr>
                <w:rFonts w:ascii="Times New Roman" w:hAnsi="Times New Roman"/>
                <w:b/>
                <w:color w:val="000000"/>
                <w:sz w:val="21"/>
              </w:rPr>
              <w:t>Records</w:t>
            </w:r>
          </w:p>
        </w:tc>
        <w:tc>
          <w:tcPr>
            <w:tcW w:type="dxa" w:w="1680"/>
            <w:shd w:fill="E7E6E6"/>
          </w:tcPr>
          <w:p>
            <w:r>
              <w:rPr>
                <w:rFonts w:ascii="Times New Roman" w:hAnsi="Times New Roman"/>
                <w:b/>
                <w:color w:val="000000"/>
                <w:sz w:val="21"/>
              </w:rPr>
              <w:t>Spend (USD M)</w:t>
            </w:r>
          </w:p>
        </w:tc>
        <w:tc>
          <w:tcPr>
            <w:tcW w:type="dxa" w:w="1680"/>
            <w:shd w:fill="E7E6E6"/>
          </w:tcPr>
          <w:p>
            <w:r>
              <w:rPr>
                <w:rFonts w:ascii="Times New Roman" w:hAnsi="Times New Roman"/>
                <w:b/>
                <w:color w:val="000000"/>
                <w:sz w:val="21"/>
              </w:rPr>
              <w:t>Savings (USD M)</w:t>
            </w:r>
          </w:p>
        </w:tc>
        <w:tc>
          <w:tcPr>
            <w:tcW w:type="dxa" w:w="1680"/>
            <w:shd w:fill="E7E6E6"/>
          </w:tcPr>
          <w:p>
            <w:r>
              <w:rPr>
                <w:rFonts w:ascii="Times New Roman" w:hAnsi="Times New Roman"/>
                <w:b/>
                <w:color w:val="000000"/>
                <w:sz w:val="21"/>
              </w:rPr>
              <w:t>Avg ROI</w:t>
            </w:r>
          </w:p>
        </w:tc>
        <w:tc>
          <w:tcPr>
            <w:tcW w:type="dxa" w:w="1680"/>
            <w:shd w:fill="E7E6E6"/>
          </w:tcPr>
          <w:p>
            <w:r>
              <w:rPr>
                <w:rFonts w:ascii="Times New Roman" w:hAnsi="Times New Roman"/>
                <w:b/>
                <w:color w:val="000000"/>
                <w:sz w:val="21"/>
              </w:rPr>
              <w:t>Avg Automation (%)</w:t>
            </w:r>
          </w:p>
        </w:tc>
      </w:tr>
      <w:tr>
        <w:tc>
          <w:tcPr>
            <w:tcW w:type="dxa" w:w="1680"/>
            <w:vAlign w:val="center"/>
          </w:tcPr>
          <w:p>
            <w:r>
              <w:rPr>
                <w:rFonts w:ascii="Times New Roman" w:hAnsi="Times New Roman"/>
                <w:color w:val="000000"/>
                <w:sz w:val="21"/>
              </w:rPr>
              <w:t>RPA + AI</w:t>
            </w:r>
          </w:p>
        </w:tc>
        <w:tc>
          <w:tcPr>
            <w:tcW w:type="dxa" w:w="1680"/>
            <w:vAlign w:val="center"/>
          </w:tcPr>
          <w:p>
            <w:r>
              <w:rPr>
                <w:rFonts w:ascii="Times New Roman" w:hAnsi="Times New Roman"/>
                <w:color w:val="000000"/>
                <w:sz w:val="21"/>
              </w:rPr>
              <w:t>21</w:t>
            </w:r>
          </w:p>
        </w:tc>
        <w:tc>
          <w:tcPr>
            <w:tcW w:type="dxa" w:w="1680"/>
            <w:vAlign w:val="center"/>
          </w:tcPr>
          <w:p>
            <w:r>
              <w:rPr>
                <w:rFonts w:ascii="Times New Roman" w:hAnsi="Times New Roman"/>
                <w:color w:val="000000"/>
                <w:sz w:val="21"/>
              </w:rPr>
              <w:t>122.37</w:t>
            </w:r>
          </w:p>
        </w:tc>
        <w:tc>
          <w:tcPr>
            <w:tcW w:type="dxa" w:w="1680"/>
            <w:vAlign w:val="center"/>
          </w:tcPr>
          <w:p>
            <w:r>
              <w:rPr>
                <w:rFonts w:ascii="Times New Roman" w:hAnsi="Times New Roman"/>
                <w:color w:val="000000"/>
                <w:sz w:val="21"/>
              </w:rPr>
              <w:t>126.30</w:t>
            </w:r>
          </w:p>
        </w:tc>
        <w:tc>
          <w:tcPr>
            <w:tcW w:type="dxa" w:w="1680"/>
            <w:vAlign w:val="center"/>
          </w:tcPr>
          <w:p>
            <w:r>
              <w:rPr>
                <w:rFonts w:ascii="Times New Roman" w:hAnsi="Times New Roman"/>
                <w:color w:val="000000"/>
                <w:sz w:val="21"/>
              </w:rPr>
              <w:t>3.12</w:t>
            </w:r>
          </w:p>
        </w:tc>
        <w:tc>
          <w:tcPr>
            <w:tcW w:type="dxa" w:w="1680"/>
            <w:vAlign w:val="center"/>
          </w:tcPr>
          <w:p>
            <w:r>
              <w:rPr>
                <w:rFonts w:ascii="Times New Roman" w:hAnsi="Times New Roman"/>
                <w:color w:val="000000"/>
                <w:sz w:val="21"/>
              </w:rPr>
              <w:t>51.57</w:t>
            </w:r>
          </w:p>
        </w:tc>
      </w:tr>
      <w:tr>
        <w:tc>
          <w:tcPr>
            <w:tcW w:type="dxa" w:w="1680"/>
            <w:vAlign w:val="center"/>
          </w:tcPr>
          <w:p>
            <w:r>
              <w:rPr>
                <w:rFonts w:ascii="Times New Roman" w:hAnsi="Times New Roman"/>
                <w:color w:val="000000"/>
                <w:sz w:val="21"/>
              </w:rPr>
              <w:t>Generative AI</w:t>
            </w:r>
          </w:p>
        </w:tc>
        <w:tc>
          <w:tcPr>
            <w:tcW w:type="dxa" w:w="1680"/>
            <w:vAlign w:val="center"/>
          </w:tcPr>
          <w:p>
            <w:r>
              <w:rPr>
                <w:rFonts w:ascii="Times New Roman" w:hAnsi="Times New Roman"/>
                <w:color w:val="000000"/>
                <w:sz w:val="21"/>
              </w:rPr>
              <w:t>22</w:t>
            </w:r>
          </w:p>
        </w:tc>
        <w:tc>
          <w:tcPr>
            <w:tcW w:type="dxa" w:w="1680"/>
            <w:vAlign w:val="center"/>
          </w:tcPr>
          <w:p>
            <w:r>
              <w:rPr>
                <w:rFonts w:ascii="Times New Roman" w:hAnsi="Times New Roman"/>
                <w:color w:val="000000"/>
                <w:sz w:val="21"/>
              </w:rPr>
              <w:t>114.40</w:t>
            </w:r>
          </w:p>
        </w:tc>
        <w:tc>
          <w:tcPr>
            <w:tcW w:type="dxa" w:w="1680"/>
            <w:vAlign w:val="center"/>
          </w:tcPr>
          <w:p>
            <w:r>
              <w:rPr>
                <w:rFonts w:ascii="Times New Roman" w:hAnsi="Times New Roman"/>
                <w:color w:val="000000"/>
                <w:sz w:val="21"/>
              </w:rPr>
              <w:t>121.84</w:t>
            </w:r>
          </w:p>
        </w:tc>
        <w:tc>
          <w:tcPr>
            <w:tcW w:type="dxa" w:w="1680"/>
            <w:vAlign w:val="center"/>
          </w:tcPr>
          <w:p>
            <w:r>
              <w:rPr>
                <w:rFonts w:ascii="Times New Roman" w:hAnsi="Times New Roman"/>
                <w:color w:val="000000"/>
                <w:sz w:val="21"/>
              </w:rPr>
              <w:t>3.19</w:t>
            </w:r>
          </w:p>
        </w:tc>
        <w:tc>
          <w:tcPr>
            <w:tcW w:type="dxa" w:w="1680"/>
            <w:vAlign w:val="center"/>
          </w:tcPr>
          <w:p>
            <w:r>
              <w:rPr>
                <w:rFonts w:ascii="Times New Roman" w:hAnsi="Times New Roman"/>
                <w:color w:val="000000"/>
                <w:sz w:val="21"/>
              </w:rPr>
              <w:t>47.75</w:t>
            </w:r>
          </w:p>
        </w:tc>
      </w:tr>
      <w:tr>
        <w:tc>
          <w:tcPr>
            <w:tcW w:type="dxa" w:w="1680"/>
            <w:vAlign w:val="center"/>
          </w:tcPr>
          <w:p>
            <w:r>
              <w:rPr>
                <w:rFonts w:ascii="Times New Roman" w:hAnsi="Times New Roman"/>
                <w:color w:val="000000"/>
                <w:sz w:val="21"/>
              </w:rPr>
              <w:t>Machine Learning</w:t>
            </w:r>
          </w:p>
        </w:tc>
        <w:tc>
          <w:tcPr>
            <w:tcW w:type="dxa" w:w="1680"/>
            <w:vAlign w:val="center"/>
          </w:tcPr>
          <w:p>
            <w:r>
              <w:rPr>
                <w:rFonts w:ascii="Times New Roman" w:hAnsi="Times New Roman"/>
                <w:color w:val="000000"/>
                <w:sz w:val="21"/>
              </w:rPr>
              <w:t>20</w:t>
            </w:r>
          </w:p>
        </w:tc>
        <w:tc>
          <w:tcPr>
            <w:tcW w:type="dxa" w:w="1680"/>
            <w:vAlign w:val="center"/>
          </w:tcPr>
          <w:p>
            <w:r>
              <w:rPr>
                <w:rFonts w:ascii="Times New Roman" w:hAnsi="Times New Roman"/>
                <w:color w:val="000000"/>
                <w:sz w:val="21"/>
              </w:rPr>
              <w:t>113.28</w:t>
            </w:r>
          </w:p>
        </w:tc>
        <w:tc>
          <w:tcPr>
            <w:tcW w:type="dxa" w:w="1680"/>
            <w:vAlign w:val="center"/>
          </w:tcPr>
          <w:p>
            <w:r>
              <w:rPr>
                <w:rFonts w:ascii="Times New Roman" w:hAnsi="Times New Roman"/>
                <w:color w:val="000000"/>
                <w:sz w:val="21"/>
              </w:rPr>
              <w:t>106.52</w:t>
            </w:r>
          </w:p>
        </w:tc>
        <w:tc>
          <w:tcPr>
            <w:tcW w:type="dxa" w:w="1680"/>
            <w:vAlign w:val="center"/>
          </w:tcPr>
          <w:p>
            <w:r>
              <w:rPr>
                <w:rFonts w:ascii="Times New Roman" w:hAnsi="Times New Roman"/>
                <w:color w:val="000000"/>
                <w:sz w:val="21"/>
              </w:rPr>
              <w:t>2.86</w:t>
            </w:r>
          </w:p>
        </w:tc>
        <w:tc>
          <w:tcPr>
            <w:tcW w:type="dxa" w:w="1680"/>
            <w:vAlign w:val="center"/>
          </w:tcPr>
          <w:p>
            <w:r>
              <w:rPr>
                <w:rFonts w:ascii="Times New Roman" w:hAnsi="Times New Roman"/>
                <w:color w:val="000000"/>
                <w:sz w:val="21"/>
              </w:rPr>
              <w:t>43.76</w:t>
            </w:r>
          </w:p>
        </w:tc>
      </w:tr>
      <w:tr>
        <w:tc>
          <w:tcPr>
            <w:tcW w:type="dxa" w:w="1680"/>
            <w:vAlign w:val="center"/>
          </w:tcPr>
          <w:p>
            <w:r>
              <w:rPr>
                <w:rFonts w:ascii="Times New Roman" w:hAnsi="Times New Roman"/>
                <w:color w:val="000000"/>
                <w:sz w:val="21"/>
              </w:rPr>
              <w:t>AI Automation</w:t>
            </w:r>
          </w:p>
        </w:tc>
        <w:tc>
          <w:tcPr>
            <w:tcW w:type="dxa" w:w="1680"/>
            <w:vAlign w:val="center"/>
          </w:tcPr>
          <w:p>
            <w:r>
              <w:rPr>
                <w:rFonts w:ascii="Times New Roman" w:hAnsi="Times New Roman"/>
                <w:color w:val="000000"/>
                <w:sz w:val="21"/>
              </w:rPr>
              <w:t>9</w:t>
            </w:r>
          </w:p>
        </w:tc>
        <w:tc>
          <w:tcPr>
            <w:tcW w:type="dxa" w:w="1680"/>
            <w:vAlign w:val="center"/>
          </w:tcPr>
          <w:p>
            <w:r>
              <w:rPr>
                <w:rFonts w:ascii="Times New Roman" w:hAnsi="Times New Roman"/>
                <w:color w:val="000000"/>
                <w:sz w:val="21"/>
              </w:rPr>
              <w:t>45.26</w:t>
            </w:r>
          </w:p>
        </w:tc>
        <w:tc>
          <w:tcPr>
            <w:tcW w:type="dxa" w:w="1680"/>
            <w:vAlign w:val="center"/>
          </w:tcPr>
          <w:p>
            <w:r>
              <w:rPr>
                <w:rFonts w:ascii="Times New Roman" w:hAnsi="Times New Roman"/>
                <w:color w:val="000000"/>
                <w:sz w:val="21"/>
              </w:rPr>
              <w:t>48.71</w:t>
            </w:r>
          </w:p>
        </w:tc>
        <w:tc>
          <w:tcPr>
            <w:tcW w:type="dxa" w:w="1680"/>
            <w:vAlign w:val="center"/>
          </w:tcPr>
          <w:p>
            <w:r>
              <w:rPr>
                <w:rFonts w:ascii="Times New Roman" w:hAnsi="Times New Roman"/>
                <w:color w:val="000000"/>
                <w:sz w:val="21"/>
              </w:rPr>
              <w:t>2.83</w:t>
            </w:r>
          </w:p>
        </w:tc>
        <w:tc>
          <w:tcPr>
            <w:tcW w:type="dxa" w:w="1680"/>
            <w:vAlign w:val="center"/>
          </w:tcPr>
          <w:p>
            <w:r>
              <w:rPr>
                <w:rFonts w:ascii="Times New Roman" w:hAnsi="Times New Roman"/>
                <w:color w:val="000000"/>
                <w:sz w:val="21"/>
              </w:rPr>
              <w:t>51.88</w:t>
            </w:r>
          </w:p>
        </w:tc>
      </w:tr>
    </w:tbl>
    <w:p>
      <w:pPr>
        <w:jc w:val="both"/>
      </w:pPr>
    </w:p>
    <w:p>
      <w:pPr>
        <w:jc w:val="both"/>
      </w:pPr>
      <w:r>
        <w:rPr>
          <w:rFonts w:ascii="Times New Roman" w:hAnsi="Times New Roman"/>
          <w:color w:val="000000"/>
          <w:sz w:val="22"/>
        </w:rPr>
        <w:t>RPA + AI has the highest total recorded spending at USD 122.37 million. Generative AI has the highest average ROI among the four technologies at 3.19x, while RPA + AI has an average automation rate of 51.57%.</w:t>
      </w:r>
    </w:p>
    <w:p>
      <w:pPr>
        <w:spacing w:before="160" w:after="100"/>
        <w:jc w:val="left"/>
      </w:pPr>
      <w:r>
        <w:rPr>
          <w:rFonts w:ascii="Times New Roman" w:hAnsi="Times New Roman"/>
          <w:b/>
          <w:color w:val="000000"/>
          <w:sz w:val="26"/>
        </w:rPr>
        <w:t>15. AI Maturity Analysis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7E6E6"/>
          </w:tcPr>
          <w:p>
            <w:r>
              <w:rPr>
                <w:rFonts w:ascii="Times New Roman" w:hAnsi="Times New Roman"/>
                <w:b/>
                <w:color w:val="000000"/>
                <w:sz w:val="21"/>
              </w:rPr>
              <w:t>Maturity</w:t>
            </w:r>
          </w:p>
        </w:tc>
        <w:tc>
          <w:tcPr>
            <w:tcW w:type="dxa" w:w="1680"/>
            <w:shd w:fill="E7E6E6"/>
          </w:tcPr>
          <w:p>
            <w:r>
              <w:rPr>
                <w:rFonts w:ascii="Times New Roman" w:hAnsi="Times New Roman"/>
                <w:b/>
                <w:color w:val="000000"/>
                <w:sz w:val="21"/>
              </w:rPr>
              <w:t>Records</w:t>
            </w:r>
          </w:p>
        </w:tc>
        <w:tc>
          <w:tcPr>
            <w:tcW w:type="dxa" w:w="1680"/>
            <w:shd w:fill="E7E6E6"/>
          </w:tcPr>
          <w:p>
            <w:r>
              <w:rPr>
                <w:rFonts w:ascii="Times New Roman" w:hAnsi="Times New Roman"/>
                <w:b/>
                <w:color w:val="000000"/>
                <w:sz w:val="21"/>
              </w:rPr>
              <w:t>Spend (USD M)</w:t>
            </w:r>
          </w:p>
        </w:tc>
        <w:tc>
          <w:tcPr>
            <w:tcW w:type="dxa" w:w="1680"/>
            <w:shd w:fill="E7E6E6"/>
          </w:tcPr>
          <w:p>
            <w:r>
              <w:rPr>
                <w:rFonts w:ascii="Times New Roman" w:hAnsi="Times New Roman"/>
                <w:b/>
                <w:color w:val="000000"/>
                <w:sz w:val="21"/>
              </w:rPr>
              <w:t>Savings (USD M)</w:t>
            </w:r>
          </w:p>
        </w:tc>
        <w:tc>
          <w:tcPr>
            <w:tcW w:type="dxa" w:w="1680"/>
            <w:shd w:fill="E7E6E6"/>
          </w:tcPr>
          <w:p>
            <w:r>
              <w:rPr>
                <w:rFonts w:ascii="Times New Roman" w:hAnsi="Times New Roman"/>
                <w:b/>
                <w:color w:val="000000"/>
                <w:sz w:val="21"/>
              </w:rPr>
              <w:t>Avg ROI</w:t>
            </w:r>
          </w:p>
        </w:tc>
        <w:tc>
          <w:tcPr>
            <w:tcW w:type="dxa" w:w="1680"/>
            <w:shd w:fill="E7E6E6"/>
          </w:tcPr>
          <w:p>
            <w:r>
              <w:rPr>
                <w:rFonts w:ascii="Times New Roman" w:hAnsi="Times New Roman"/>
                <w:b/>
                <w:color w:val="000000"/>
                <w:sz w:val="21"/>
              </w:rPr>
              <w:t>Avg Automation (%)</w:t>
            </w:r>
          </w:p>
        </w:tc>
      </w:tr>
      <w:tr>
        <w:tc>
          <w:tcPr>
            <w:tcW w:type="dxa" w:w="1680"/>
            <w:vAlign w:val="center"/>
          </w:tcPr>
          <w:p>
            <w:r>
              <w:rPr>
                <w:rFonts w:ascii="Times New Roman" w:hAnsi="Times New Roman"/>
                <w:color w:val="000000"/>
                <w:sz w:val="21"/>
              </w:rPr>
              <w:t>Pilot</w:t>
            </w:r>
          </w:p>
        </w:tc>
        <w:tc>
          <w:tcPr>
            <w:tcW w:type="dxa" w:w="1680"/>
            <w:vAlign w:val="center"/>
          </w:tcPr>
          <w:p>
            <w:r>
              <w:rPr>
                <w:rFonts w:ascii="Times New Roman" w:hAnsi="Times New Roman"/>
                <w:color w:val="000000"/>
                <w:sz w:val="21"/>
              </w:rPr>
              <w:t>27</w:t>
            </w:r>
          </w:p>
        </w:tc>
        <w:tc>
          <w:tcPr>
            <w:tcW w:type="dxa" w:w="1680"/>
            <w:vAlign w:val="center"/>
          </w:tcPr>
          <w:p>
            <w:r>
              <w:rPr>
                <w:rFonts w:ascii="Times New Roman" w:hAnsi="Times New Roman"/>
                <w:color w:val="000000"/>
                <w:sz w:val="21"/>
              </w:rPr>
              <w:t>153.27</w:t>
            </w:r>
          </w:p>
        </w:tc>
        <w:tc>
          <w:tcPr>
            <w:tcW w:type="dxa" w:w="1680"/>
            <w:vAlign w:val="center"/>
          </w:tcPr>
          <w:p>
            <w:r>
              <w:rPr>
                <w:rFonts w:ascii="Times New Roman" w:hAnsi="Times New Roman"/>
                <w:color w:val="000000"/>
                <w:sz w:val="21"/>
              </w:rPr>
              <w:t>164.68</w:t>
            </w:r>
          </w:p>
        </w:tc>
        <w:tc>
          <w:tcPr>
            <w:tcW w:type="dxa" w:w="1680"/>
            <w:vAlign w:val="center"/>
          </w:tcPr>
          <w:p>
            <w:r>
              <w:rPr>
                <w:rFonts w:ascii="Times New Roman" w:hAnsi="Times New Roman"/>
                <w:color w:val="000000"/>
                <w:sz w:val="21"/>
              </w:rPr>
              <w:t>3.10</w:t>
            </w:r>
          </w:p>
        </w:tc>
        <w:tc>
          <w:tcPr>
            <w:tcW w:type="dxa" w:w="1680"/>
            <w:vAlign w:val="center"/>
          </w:tcPr>
          <w:p>
            <w:r>
              <w:rPr>
                <w:rFonts w:ascii="Times New Roman" w:hAnsi="Times New Roman"/>
                <w:color w:val="000000"/>
                <w:sz w:val="21"/>
              </w:rPr>
              <w:t>49.22</w:t>
            </w:r>
          </w:p>
        </w:tc>
      </w:tr>
      <w:tr>
        <w:tc>
          <w:tcPr>
            <w:tcW w:type="dxa" w:w="1680"/>
            <w:vAlign w:val="center"/>
          </w:tcPr>
          <w:p>
            <w:r>
              <w:rPr>
                <w:rFonts w:ascii="Times New Roman" w:hAnsi="Times New Roman"/>
                <w:color w:val="000000"/>
                <w:sz w:val="21"/>
              </w:rPr>
              <w:t>Production</w:t>
            </w:r>
          </w:p>
        </w:tc>
        <w:tc>
          <w:tcPr>
            <w:tcW w:type="dxa" w:w="1680"/>
            <w:vAlign w:val="center"/>
          </w:tcPr>
          <w:p>
            <w:r>
              <w:rPr>
                <w:rFonts w:ascii="Times New Roman" w:hAnsi="Times New Roman"/>
                <w:color w:val="000000"/>
                <w:sz w:val="21"/>
              </w:rPr>
              <w:t>15</w:t>
            </w:r>
          </w:p>
        </w:tc>
        <w:tc>
          <w:tcPr>
            <w:tcW w:type="dxa" w:w="1680"/>
            <w:vAlign w:val="center"/>
          </w:tcPr>
          <w:p>
            <w:r>
              <w:rPr>
                <w:rFonts w:ascii="Times New Roman" w:hAnsi="Times New Roman"/>
                <w:color w:val="000000"/>
                <w:sz w:val="21"/>
              </w:rPr>
              <w:t>71.70</w:t>
            </w:r>
          </w:p>
        </w:tc>
        <w:tc>
          <w:tcPr>
            <w:tcW w:type="dxa" w:w="1680"/>
            <w:vAlign w:val="center"/>
          </w:tcPr>
          <w:p>
            <w:r>
              <w:rPr>
                <w:rFonts w:ascii="Times New Roman" w:hAnsi="Times New Roman"/>
                <w:color w:val="000000"/>
                <w:sz w:val="21"/>
              </w:rPr>
              <w:t>76.02</w:t>
            </w:r>
          </w:p>
        </w:tc>
        <w:tc>
          <w:tcPr>
            <w:tcW w:type="dxa" w:w="1680"/>
            <w:vAlign w:val="center"/>
          </w:tcPr>
          <w:p>
            <w:r>
              <w:rPr>
                <w:rFonts w:ascii="Times New Roman" w:hAnsi="Times New Roman"/>
                <w:color w:val="000000"/>
                <w:sz w:val="21"/>
              </w:rPr>
              <w:t>3.43</w:t>
            </w:r>
          </w:p>
        </w:tc>
        <w:tc>
          <w:tcPr>
            <w:tcW w:type="dxa" w:w="1680"/>
            <w:vAlign w:val="center"/>
          </w:tcPr>
          <w:p>
            <w:r>
              <w:rPr>
                <w:rFonts w:ascii="Times New Roman" w:hAnsi="Times New Roman"/>
                <w:color w:val="000000"/>
                <w:sz w:val="21"/>
              </w:rPr>
              <w:t>53.67</w:t>
            </w:r>
          </w:p>
        </w:tc>
      </w:tr>
      <w:tr>
        <w:tc>
          <w:tcPr>
            <w:tcW w:type="dxa" w:w="1680"/>
            <w:vAlign w:val="center"/>
          </w:tcPr>
          <w:p>
            <w:r>
              <w:rPr>
                <w:rFonts w:ascii="Times New Roman" w:hAnsi="Times New Roman"/>
                <w:color w:val="000000"/>
                <w:sz w:val="21"/>
              </w:rPr>
              <w:t>Scaling</w:t>
            </w:r>
          </w:p>
        </w:tc>
        <w:tc>
          <w:tcPr>
            <w:tcW w:type="dxa" w:w="1680"/>
            <w:vAlign w:val="center"/>
          </w:tcPr>
          <w:p>
            <w:r>
              <w:rPr>
                <w:rFonts w:ascii="Times New Roman" w:hAnsi="Times New Roman"/>
                <w:color w:val="000000"/>
                <w:sz w:val="21"/>
              </w:rPr>
              <w:t>30</w:t>
            </w:r>
          </w:p>
        </w:tc>
        <w:tc>
          <w:tcPr>
            <w:tcW w:type="dxa" w:w="1680"/>
            <w:vAlign w:val="center"/>
          </w:tcPr>
          <w:p>
            <w:r>
              <w:rPr>
                <w:rFonts w:ascii="Times New Roman" w:hAnsi="Times New Roman"/>
                <w:color w:val="000000"/>
                <w:sz w:val="21"/>
              </w:rPr>
              <w:t>170.34</w:t>
            </w:r>
          </w:p>
        </w:tc>
        <w:tc>
          <w:tcPr>
            <w:tcW w:type="dxa" w:w="1680"/>
            <w:vAlign w:val="center"/>
          </w:tcPr>
          <w:p>
            <w:r>
              <w:rPr>
                <w:rFonts w:ascii="Times New Roman" w:hAnsi="Times New Roman"/>
                <w:color w:val="000000"/>
                <w:sz w:val="21"/>
              </w:rPr>
              <w:t>162.67</w:t>
            </w:r>
          </w:p>
        </w:tc>
        <w:tc>
          <w:tcPr>
            <w:tcW w:type="dxa" w:w="1680"/>
            <w:vAlign w:val="center"/>
          </w:tcPr>
          <w:p>
            <w:r>
              <w:rPr>
                <w:rFonts w:ascii="Times New Roman" w:hAnsi="Times New Roman"/>
                <w:color w:val="000000"/>
                <w:sz w:val="21"/>
              </w:rPr>
              <w:t>2.78</w:t>
            </w:r>
          </w:p>
        </w:tc>
        <w:tc>
          <w:tcPr>
            <w:tcW w:type="dxa" w:w="1680"/>
            <w:vAlign w:val="center"/>
          </w:tcPr>
          <w:p>
            <w:r>
              <w:rPr>
                <w:rFonts w:ascii="Times New Roman" w:hAnsi="Times New Roman"/>
                <w:color w:val="000000"/>
                <w:sz w:val="21"/>
              </w:rPr>
              <w:t>44.71</w:t>
            </w:r>
          </w:p>
        </w:tc>
      </w:tr>
    </w:tbl>
    <w:p>
      <w:pPr>
        <w:jc w:val="both"/>
      </w:pPr>
    </w:p>
    <w:p>
      <w:pPr>
        <w:jc w:val="both"/>
      </w:pPr>
      <w:r>
        <w:rPr>
          <w:rFonts w:ascii="Times New Roman" w:hAnsi="Times New Roman"/>
          <w:color w:val="000000"/>
          <w:sz w:val="22"/>
        </w:rPr>
        <w:t>Production-stage records show the highest average automation rate at 53.67% and the highest average ROI at 3.43x. Scaling has the largest total spending in the dataset at USD 170.34 million.</w:t>
      </w:r>
    </w:p>
    <w:p>
      <w:pPr>
        <w:spacing w:before="160" w:after="100"/>
        <w:jc w:val="left"/>
      </w:pPr>
      <w:r>
        <w:rPr>
          <w:rFonts w:ascii="Times New Roman" w:hAnsi="Times New Roman"/>
          <w:b/>
          <w:color w:val="000000"/>
          <w:sz w:val="26"/>
        </w:rPr>
        <w:t>16. Cost Savings, ROI and Productivity Analysis</w:t>
      </w:r>
    </w:p>
    <w:p>
      <w:pPr>
        <w:jc w:val="both"/>
      </w:pPr>
      <w:r>
        <w:rPr>
          <w:rFonts w:ascii="Times New Roman" w:hAnsi="Times New Roman"/>
          <w:color w:val="000000"/>
          <w:sz w:val="22"/>
        </w:rPr>
        <w:t>Across all 72 records, total AI spending is USD 395.31 million and estimated cost savings are USD 403.37 million. The resulting aggregate net benefit is USD 8.06 million.</w:t>
      </w:r>
    </w:p>
    <w:tbl>
      <w:tblPr>
        <w:tblStyle w:val="TableGrid"/>
        <w:tblW w:type="auto" w:w="0"/>
        <w:jc w:val="center"/>
        <w:tblLook w:firstColumn="1" w:firstRow="1" w:lastColumn="0" w:lastRow="0" w:noHBand="0" w:noVBand="1" w:val="04A0"/>
      </w:tblPr>
      <w:tblGrid>
        <w:gridCol w:w="5040"/>
        <w:gridCol w:w="5040"/>
      </w:tblGrid>
      <w:tr>
        <w:tc>
          <w:tcPr>
            <w:tcW w:type="dxa" w:w="5040"/>
            <w:shd w:fill="E7E6E6"/>
          </w:tcPr>
          <w:p>
            <w:r>
              <w:rPr>
                <w:rFonts w:ascii="Times New Roman" w:hAnsi="Times New Roman"/>
                <w:b/>
                <w:color w:val="000000"/>
                <w:sz w:val="21"/>
              </w:rPr>
              <w:t>Metric</w:t>
            </w:r>
          </w:p>
        </w:tc>
        <w:tc>
          <w:tcPr>
            <w:tcW w:type="dxa" w:w="5040"/>
            <w:shd w:fill="E7E6E6"/>
          </w:tcPr>
          <w:p>
            <w:r>
              <w:rPr>
                <w:rFonts w:ascii="Times New Roman" w:hAnsi="Times New Roman"/>
                <w:b/>
                <w:color w:val="000000"/>
                <w:sz w:val="21"/>
              </w:rPr>
              <w:t>Value</w:t>
            </w:r>
          </w:p>
        </w:tc>
      </w:tr>
      <w:tr>
        <w:tc>
          <w:tcPr>
            <w:tcW w:type="dxa" w:w="5040"/>
            <w:vAlign w:val="center"/>
          </w:tcPr>
          <w:p>
            <w:r>
              <w:rPr>
                <w:rFonts w:ascii="Times New Roman" w:hAnsi="Times New Roman"/>
                <w:color w:val="000000"/>
                <w:sz w:val="21"/>
              </w:rPr>
              <w:t>Total AI Spend</w:t>
            </w:r>
          </w:p>
        </w:tc>
        <w:tc>
          <w:tcPr>
            <w:tcW w:type="dxa" w:w="5040"/>
            <w:vAlign w:val="center"/>
          </w:tcPr>
          <w:p>
            <w:r>
              <w:rPr>
                <w:rFonts w:ascii="Times New Roman" w:hAnsi="Times New Roman"/>
                <w:color w:val="000000"/>
                <w:sz w:val="21"/>
              </w:rPr>
              <w:t>USD 395.31 million</w:t>
            </w:r>
          </w:p>
        </w:tc>
      </w:tr>
      <w:tr>
        <w:tc>
          <w:tcPr>
            <w:tcW w:type="dxa" w:w="5040"/>
            <w:vAlign w:val="center"/>
          </w:tcPr>
          <w:p>
            <w:r>
              <w:rPr>
                <w:rFonts w:ascii="Times New Roman" w:hAnsi="Times New Roman"/>
                <w:color w:val="000000"/>
                <w:sz w:val="21"/>
              </w:rPr>
              <w:t>Estimated Cost Savings</w:t>
            </w:r>
          </w:p>
        </w:tc>
        <w:tc>
          <w:tcPr>
            <w:tcW w:type="dxa" w:w="5040"/>
            <w:vAlign w:val="center"/>
          </w:tcPr>
          <w:p>
            <w:r>
              <w:rPr>
                <w:rFonts w:ascii="Times New Roman" w:hAnsi="Times New Roman"/>
                <w:color w:val="000000"/>
                <w:sz w:val="21"/>
              </w:rPr>
              <w:t>USD 403.37 million</w:t>
            </w:r>
          </w:p>
        </w:tc>
      </w:tr>
      <w:tr>
        <w:tc>
          <w:tcPr>
            <w:tcW w:type="dxa" w:w="5040"/>
            <w:vAlign w:val="center"/>
          </w:tcPr>
          <w:p>
            <w:r>
              <w:rPr>
                <w:rFonts w:ascii="Times New Roman" w:hAnsi="Times New Roman"/>
                <w:color w:val="000000"/>
                <w:sz w:val="21"/>
              </w:rPr>
              <w:t>Aggregate Net Benefit</w:t>
            </w:r>
          </w:p>
        </w:tc>
        <w:tc>
          <w:tcPr>
            <w:tcW w:type="dxa" w:w="5040"/>
            <w:vAlign w:val="center"/>
          </w:tcPr>
          <w:p>
            <w:r>
              <w:rPr>
                <w:rFonts w:ascii="Times New Roman" w:hAnsi="Times New Roman"/>
                <w:color w:val="000000"/>
                <w:sz w:val="21"/>
              </w:rPr>
              <w:t>USD 8.06 million</w:t>
            </w:r>
          </w:p>
        </w:tc>
      </w:tr>
      <w:tr>
        <w:tc>
          <w:tcPr>
            <w:tcW w:type="dxa" w:w="5040"/>
            <w:vAlign w:val="center"/>
          </w:tcPr>
          <w:p>
            <w:r>
              <w:rPr>
                <w:rFonts w:ascii="Times New Roman" w:hAnsi="Times New Roman"/>
                <w:color w:val="000000"/>
                <w:sz w:val="21"/>
              </w:rPr>
              <w:t>Average ROI</w:t>
            </w:r>
          </w:p>
        </w:tc>
        <w:tc>
          <w:tcPr>
            <w:tcW w:type="dxa" w:w="5040"/>
            <w:vAlign w:val="center"/>
          </w:tcPr>
          <w:p>
            <w:r>
              <w:rPr>
                <w:rFonts w:ascii="Times New Roman" w:hAnsi="Times New Roman"/>
                <w:color w:val="000000"/>
                <w:sz w:val="21"/>
              </w:rPr>
              <w:t>3.03x</w:t>
            </w:r>
          </w:p>
        </w:tc>
      </w:tr>
      <w:tr>
        <w:tc>
          <w:tcPr>
            <w:tcW w:type="dxa" w:w="5040"/>
            <w:vAlign w:val="center"/>
          </w:tcPr>
          <w:p>
            <w:r>
              <w:rPr>
                <w:rFonts w:ascii="Times New Roman" w:hAnsi="Times New Roman"/>
                <w:color w:val="000000"/>
                <w:sz w:val="21"/>
              </w:rPr>
              <w:t>Average Automation Rate</w:t>
            </w:r>
          </w:p>
        </w:tc>
        <w:tc>
          <w:tcPr>
            <w:tcW w:type="dxa" w:w="5040"/>
            <w:vAlign w:val="center"/>
          </w:tcPr>
          <w:p>
            <w:r>
              <w:rPr>
                <w:rFonts w:ascii="Times New Roman" w:hAnsi="Times New Roman"/>
                <w:color w:val="000000"/>
                <w:sz w:val="21"/>
              </w:rPr>
              <w:t>48.27%</w:t>
            </w:r>
          </w:p>
        </w:tc>
      </w:tr>
      <w:tr>
        <w:tc>
          <w:tcPr>
            <w:tcW w:type="dxa" w:w="5040"/>
            <w:vAlign w:val="center"/>
          </w:tcPr>
          <w:p>
            <w:r>
              <w:rPr>
                <w:rFonts w:ascii="Times New Roman" w:hAnsi="Times New Roman"/>
                <w:color w:val="000000"/>
                <w:sz w:val="21"/>
              </w:rPr>
              <w:t>Total AI Projects</w:t>
            </w:r>
          </w:p>
        </w:tc>
        <w:tc>
          <w:tcPr>
            <w:tcW w:type="dxa" w:w="5040"/>
            <w:vAlign w:val="center"/>
          </w:tcPr>
          <w:p>
            <w:r>
              <w:rPr>
                <w:rFonts w:ascii="Times New Roman" w:hAnsi="Times New Roman"/>
                <w:color w:val="000000"/>
                <w:sz w:val="21"/>
              </w:rPr>
              <w:t>675</w:t>
            </w:r>
          </w:p>
        </w:tc>
      </w:tr>
      <w:tr>
        <w:tc>
          <w:tcPr>
            <w:tcW w:type="dxa" w:w="5040"/>
            <w:vAlign w:val="center"/>
          </w:tcPr>
          <w:p>
            <w:r>
              <w:rPr>
                <w:rFonts w:ascii="Times New Roman" w:hAnsi="Times New Roman"/>
                <w:color w:val="000000"/>
                <w:sz w:val="21"/>
              </w:rPr>
              <w:t>Total Monthly FTE Hours Saved</w:t>
            </w:r>
          </w:p>
        </w:tc>
        <w:tc>
          <w:tcPr>
            <w:tcW w:type="dxa" w:w="5040"/>
            <w:vAlign w:val="center"/>
          </w:tcPr>
          <w:p>
            <w:r>
              <w:rPr>
                <w:rFonts w:ascii="Times New Roman" w:hAnsi="Times New Roman"/>
                <w:color w:val="000000"/>
                <w:sz w:val="21"/>
              </w:rPr>
              <w:t>49118</w:t>
            </w:r>
          </w:p>
        </w:tc>
      </w:tr>
    </w:tbl>
    <w:p>
      <w:pPr>
        <w:jc w:val="both"/>
      </w:pPr>
    </w:p>
    <w:p>
      <w:pPr>
        <w:spacing w:before="160" w:after="100"/>
        <w:jc w:val="left"/>
      </w:pPr>
      <w:r>
        <w:rPr>
          <w:rFonts w:ascii="Times New Roman" w:hAnsi="Times New Roman"/>
          <w:b/>
          <w:color w:val="000000"/>
          <w:sz w:val="26"/>
        </w:rPr>
        <w:t>17. MySQL and SQL Analysis</w:t>
      </w:r>
    </w:p>
    <w:p>
      <w:pPr>
        <w:jc w:val="both"/>
      </w:pPr>
      <w:r>
        <w:rPr>
          <w:rFonts w:ascii="Times New Roman" w:hAnsi="Times New Roman"/>
          <w:color w:val="000000"/>
          <w:sz w:val="22"/>
        </w:rPr>
        <w:t>The project includes a MySQL database named ai_automation_banking and a table named ai_automation_spend. SQL is used to perform structured analysis directly at the database layer.</w:t>
      </w:r>
    </w:p>
    <w:p>
      <w:pPr>
        <w:pStyle w:val="ListBullet"/>
        <w:jc w:val="both"/>
      </w:pPr>
      <w:r>
        <w:rPr>
          <w:rFonts w:ascii="Times New Roman" w:hAnsi="Times New Roman"/>
          <w:color w:val="000000"/>
          <w:sz w:val="22"/>
        </w:rPr>
        <w:t>Counting total records</w:t>
      </w:r>
    </w:p>
    <w:p>
      <w:pPr>
        <w:pStyle w:val="ListBullet"/>
        <w:jc w:val="both"/>
      </w:pPr>
      <w:r>
        <w:rPr>
          <w:rFonts w:ascii="Times New Roman" w:hAnsi="Times New Roman"/>
          <w:color w:val="000000"/>
          <w:sz w:val="22"/>
        </w:rPr>
        <w:t>Calculating total AI spend</w:t>
      </w:r>
    </w:p>
    <w:p>
      <w:pPr>
        <w:pStyle w:val="ListBullet"/>
        <w:jc w:val="both"/>
      </w:pPr>
      <w:r>
        <w:rPr>
          <w:rFonts w:ascii="Times New Roman" w:hAnsi="Times New Roman"/>
          <w:color w:val="000000"/>
          <w:sz w:val="22"/>
        </w:rPr>
        <w:t>Calculating total estimated cost savings</w:t>
      </w:r>
    </w:p>
    <w:p>
      <w:pPr>
        <w:pStyle w:val="ListBullet"/>
        <w:jc w:val="both"/>
      </w:pPr>
      <w:r>
        <w:rPr>
          <w:rFonts w:ascii="Times New Roman" w:hAnsi="Times New Roman"/>
          <w:color w:val="000000"/>
          <w:sz w:val="22"/>
        </w:rPr>
        <w:t>Calculating average ROI</w:t>
      </w:r>
    </w:p>
    <w:p>
      <w:pPr>
        <w:pStyle w:val="ListBullet"/>
        <w:jc w:val="both"/>
      </w:pPr>
      <w:r>
        <w:rPr>
          <w:rFonts w:ascii="Times New Roman" w:hAnsi="Times New Roman"/>
          <w:color w:val="000000"/>
          <w:sz w:val="22"/>
        </w:rPr>
        <w:t>Calculating average automation rate</w:t>
      </w:r>
    </w:p>
    <w:p>
      <w:pPr>
        <w:pStyle w:val="ListBullet"/>
        <w:jc w:val="both"/>
      </w:pPr>
      <w:r>
        <w:rPr>
          <w:rFonts w:ascii="Times New Roman" w:hAnsi="Times New Roman"/>
          <w:color w:val="000000"/>
          <w:sz w:val="22"/>
        </w:rPr>
        <w:t>Calculating total AI projects</w:t>
      </w:r>
    </w:p>
    <w:p>
      <w:pPr>
        <w:pStyle w:val="ListBullet"/>
        <w:jc w:val="both"/>
      </w:pPr>
      <w:r>
        <w:rPr>
          <w:rFonts w:ascii="Times New Roman" w:hAnsi="Times New Roman"/>
          <w:color w:val="000000"/>
          <w:sz w:val="22"/>
        </w:rPr>
        <w:t>Country-wise and region-wise spending</w:t>
      </w:r>
    </w:p>
    <w:p>
      <w:pPr>
        <w:pStyle w:val="ListBullet"/>
        <w:jc w:val="both"/>
      </w:pPr>
      <w:r>
        <w:rPr>
          <w:rFonts w:ascii="Times New Roman" w:hAnsi="Times New Roman"/>
          <w:color w:val="000000"/>
          <w:sz w:val="22"/>
        </w:rPr>
        <w:t>Year-wise spending</w:t>
      </w:r>
    </w:p>
    <w:p>
      <w:pPr>
        <w:pStyle w:val="ListBullet"/>
        <w:jc w:val="both"/>
      </w:pPr>
      <w:r>
        <w:rPr>
          <w:rFonts w:ascii="Times New Roman" w:hAnsi="Times New Roman"/>
          <w:color w:val="000000"/>
          <w:sz w:val="22"/>
        </w:rPr>
        <w:t>Bank-wise spending</w:t>
      </w:r>
    </w:p>
    <w:p>
      <w:pPr>
        <w:pStyle w:val="ListBullet"/>
        <w:jc w:val="both"/>
      </w:pPr>
      <w:r>
        <w:rPr>
          <w:rFonts w:ascii="Times New Roman" w:hAnsi="Times New Roman"/>
          <w:color w:val="000000"/>
          <w:sz w:val="22"/>
        </w:rPr>
        <w:t>AI use case analysis</w:t>
      </w:r>
    </w:p>
    <w:p>
      <w:pPr>
        <w:pStyle w:val="ListBullet"/>
        <w:jc w:val="both"/>
      </w:pPr>
      <w:r>
        <w:rPr>
          <w:rFonts w:ascii="Times New Roman" w:hAnsi="Times New Roman"/>
          <w:color w:val="000000"/>
          <w:sz w:val="22"/>
        </w:rPr>
        <w:t>Technology-wise spending and automation</w:t>
      </w:r>
    </w:p>
    <w:p>
      <w:pPr>
        <w:pStyle w:val="ListBullet"/>
        <w:jc w:val="both"/>
      </w:pPr>
      <w:r>
        <w:rPr>
          <w:rFonts w:ascii="Times New Roman" w:hAnsi="Times New Roman"/>
          <w:color w:val="000000"/>
          <w:sz w:val="22"/>
        </w:rPr>
        <w:t>Maturity-wise project, ROI and automation analysis</w:t>
      </w:r>
    </w:p>
    <w:p>
      <w:pPr>
        <w:pStyle w:val="ListBullet"/>
        <w:jc w:val="both"/>
      </w:pPr>
      <w:r>
        <w:rPr>
          <w:rFonts w:ascii="Times New Roman" w:hAnsi="Times New Roman"/>
          <w:color w:val="000000"/>
          <w:sz w:val="22"/>
        </w:rPr>
        <w:t>Finding highest-ROI projects</w:t>
      </w:r>
    </w:p>
    <w:p>
      <w:pPr>
        <w:jc w:val="both"/>
      </w:pPr>
      <w:r>
        <w:rPr>
          <w:rFonts w:ascii="Times New Roman" w:hAnsi="Times New Roman"/>
          <w:color w:val="000000"/>
          <w:sz w:val="22"/>
        </w:rPr>
        <w:t>The SQL layer complements the Python analysis by allowing the same business questions to be answered directly from the structured database.</w:t>
      </w:r>
    </w:p>
    <w:p>
      <w:pPr>
        <w:spacing w:before="160" w:after="100"/>
        <w:jc w:val="left"/>
      </w:pPr>
      <w:r>
        <w:rPr>
          <w:rFonts w:ascii="Times New Roman" w:hAnsi="Times New Roman"/>
          <w:b/>
          <w:color w:val="000000"/>
          <w:sz w:val="26"/>
        </w:rPr>
        <w:t>18. Python–MySQL Connectivity</w:t>
      </w:r>
    </w:p>
    <w:p>
      <w:pPr>
        <w:jc w:val="both"/>
      </w:pPr>
      <w:r>
        <w:rPr>
          <w:rFonts w:ascii="Times New Roman" w:hAnsi="Times New Roman"/>
          <w:color w:val="000000"/>
          <w:sz w:val="22"/>
        </w:rPr>
        <w:t>The supplied project contains a Python database connection script using mysql.connector. The script connects to the ai_automation_banking database and checks the ai_automation_spend table. This creates a connection between the database layer and Python analysis workflow, allowing database results to be retrieved programmatically.</w:t>
      </w:r>
    </w:p>
    <w:p>
      <w:pPr>
        <w:spacing w:before="160" w:after="100"/>
        <w:jc w:val="left"/>
      </w:pPr>
      <w:r>
        <w:rPr>
          <w:rFonts w:ascii="Times New Roman" w:hAnsi="Times New Roman"/>
          <w:b/>
          <w:color w:val="000000"/>
          <w:sz w:val="26"/>
        </w:rPr>
        <w:t>19. Data Visualization</w:t>
      </w:r>
    </w:p>
    <w:p>
      <w:pPr>
        <w:jc w:val="both"/>
      </w:pPr>
      <w:r>
        <w:rPr>
          <w:rFonts w:ascii="Times New Roman" w:hAnsi="Times New Roman"/>
          <w:color w:val="000000"/>
          <w:sz w:val="22"/>
        </w:rPr>
        <w:t>The project notebook creates analytical charts using Matplotlib and Seaborn. The main visualizations include:</w:t>
      </w:r>
    </w:p>
    <w:p>
      <w:pPr>
        <w:pStyle w:val="ListBullet"/>
        <w:jc w:val="both"/>
      </w:pPr>
      <w:r>
        <w:rPr>
          <w:rFonts w:ascii="Times New Roman" w:hAnsi="Times New Roman"/>
          <w:color w:val="000000"/>
          <w:sz w:val="22"/>
        </w:rPr>
        <w:t>Distribution of AI spending</w:t>
      </w:r>
    </w:p>
    <w:p>
      <w:pPr>
        <w:pStyle w:val="ListBullet"/>
        <w:jc w:val="both"/>
      </w:pPr>
      <w:r>
        <w:rPr>
          <w:rFonts w:ascii="Times New Roman" w:hAnsi="Times New Roman"/>
          <w:color w:val="000000"/>
          <w:sz w:val="22"/>
        </w:rPr>
        <w:t>Year-wise AI spending trend</w:t>
      </w:r>
    </w:p>
    <w:p>
      <w:pPr>
        <w:pStyle w:val="ListBullet"/>
        <w:jc w:val="both"/>
      </w:pPr>
      <w:r>
        <w:rPr>
          <w:rFonts w:ascii="Times New Roman" w:hAnsi="Times New Roman"/>
          <w:color w:val="000000"/>
          <w:sz w:val="22"/>
        </w:rPr>
        <w:t>Year-wise estimated cost savings</w:t>
      </w:r>
    </w:p>
    <w:p>
      <w:pPr>
        <w:pStyle w:val="ListBullet"/>
        <w:jc w:val="both"/>
      </w:pPr>
      <w:r>
        <w:rPr>
          <w:rFonts w:ascii="Times New Roman" w:hAnsi="Times New Roman"/>
          <w:color w:val="000000"/>
          <w:sz w:val="22"/>
        </w:rPr>
        <w:t>Region-wise AI spending</w:t>
      </w:r>
    </w:p>
    <w:p>
      <w:pPr>
        <w:pStyle w:val="ListBullet"/>
        <w:jc w:val="both"/>
      </w:pPr>
      <w:r>
        <w:rPr>
          <w:rFonts w:ascii="Times New Roman" w:hAnsi="Times New Roman"/>
          <w:color w:val="000000"/>
          <w:sz w:val="22"/>
        </w:rPr>
        <w:t>Country-wise AI spending</w:t>
      </w:r>
    </w:p>
    <w:p>
      <w:pPr>
        <w:pStyle w:val="ListBullet"/>
        <w:jc w:val="both"/>
      </w:pPr>
      <w:r>
        <w:rPr>
          <w:rFonts w:ascii="Times New Roman" w:hAnsi="Times New Roman"/>
          <w:color w:val="000000"/>
          <w:sz w:val="22"/>
        </w:rPr>
        <w:t>Technology-wise AI spending</w:t>
      </w:r>
    </w:p>
    <w:p>
      <w:pPr>
        <w:pStyle w:val="ListBullet"/>
        <w:jc w:val="both"/>
      </w:pPr>
      <w:r>
        <w:rPr>
          <w:rFonts w:ascii="Times New Roman" w:hAnsi="Times New Roman"/>
          <w:color w:val="000000"/>
          <w:sz w:val="22"/>
        </w:rPr>
        <w:t>AI projects by use case</w:t>
      </w:r>
    </w:p>
    <w:p>
      <w:pPr>
        <w:pStyle w:val="ListBullet"/>
        <w:jc w:val="both"/>
      </w:pPr>
      <w:r>
        <w:rPr>
          <w:rFonts w:ascii="Times New Roman" w:hAnsi="Times New Roman"/>
          <w:color w:val="000000"/>
          <w:sz w:val="22"/>
        </w:rPr>
        <w:t>Average ROI by technology</w:t>
      </w:r>
    </w:p>
    <w:p>
      <w:pPr>
        <w:pStyle w:val="ListBullet"/>
        <w:jc w:val="both"/>
      </w:pPr>
      <w:r>
        <w:rPr>
          <w:rFonts w:ascii="Times New Roman" w:hAnsi="Times New Roman"/>
          <w:color w:val="000000"/>
          <w:sz w:val="22"/>
        </w:rPr>
        <w:t>Average automation rate by maturity</w:t>
      </w:r>
    </w:p>
    <w:p>
      <w:pPr>
        <w:pStyle w:val="ListBullet"/>
        <w:jc w:val="both"/>
      </w:pPr>
      <w:r>
        <w:rPr>
          <w:rFonts w:ascii="Times New Roman" w:hAnsi="Times New Roman"/>
          <w:color w:val="000000"/>
          <w:sz w:val="22"/>
        </w:rPr>
        <w:t>Top banks by AI spending</w:t>
      </w:r>
    </w:p>
    <w:p>
      <w:pPr>
        <w:pStyle w:val="ListBullet"/>
        <w:jc w:val="both"/>
      </w:pPr>
      <w:r>
        <w:rPr>
          <w:rFonts w:ascii="Times New Roman" w:hAnsi="Times New Roman"/>
          <w:color w:val="000000"/>
          <w:sz w:val="22"/>
        </w:rPr>
        <w:t>Correlation heatmap of investment and impact metrics</w:t>
      </w:r>
    </w:p>
    <w:p>
      <w:pPr>
        <w:pStyle w:val="ListBullet"/>
        <w:jc w:val="both"/>
      </w:pPr>
      <w:r>
        <w:rPr>
          <w:rFonts w:ascii="Times New Roman" w:hAnsi="Times New Roman"/>
          <w:color w:val="000000"/>
          <w:sz w:val="22"/>
        </w:rPr>
        <w:t>AI spending versus estimated cost savings scatter plot</w:t>
      </w:r>
    </w:p>
    <w:p>
      <w:pPr>
        <w:pStyle w:val="ListBullet"/>
        <w:jc w:val="both"/>
      </w:pPr>
      <w:r>
        <w:rPr>
          <w:rFonts w:ascii="Times New Roman" w:hAnsi="Times New Roman"/>
          <w:color w:val="000000"/>
          <w:sz w:val="22"/>
        </w:rPr>
        <w:t>Automation rate versus monthly FTE hours saved scatter plot</w:t>
      </w:r>
    </w:p>
    <w:p>
      <w:pPr>
        <w:spacing w:before="160" w:after="100"/>
        <w:jc w:val="left"/>
      </w:pPr>
      <w:r>
        <w:rPr>
          <w:rFonts w:ascii="Times New Roman" w:hAnsi="Times New Roman"/>
          <w:b/>
          <w:color w:val="000000"/>
          <w:sz w:val="26"/>
        </w:rPr>
        <w:t>20. Correlation and Relationship Analysis</w:t>
      </w:r>
    </w:p>
    <w:p>
      <w:pPr>
        <w:jc w:val="both"/>
      </w:pPr>
      <w:r>
        <w:rPr>
          <w:rFonts w:ascii="Times New Roman" w:hAnsi="Times New Roman"/>
          <w:color w:val="000000"/>
          <w:sz w:val="22"/>
        </w:rPr>
        <w:t>The correlation analysis shows a correlation of 0.76 between AI spending and estimated cost savings in the supplied records. This indicates a strong positive association in this dataset, but correlation alone does not prove that higher spending causes higher savings.</w:t>
      </w:r>
    </w:p>
    <w:p>
      <w:pPr>
        <w:jc w:val="both"/>
      </w:pPr>
      <w:r>
        <w:rPr>
          <w:rFonts w:ascii="Times New Roman" w:hAnsi="Times New Roman"/>
          <w:color w:val="000000"/>
          <w:sz w:val="22"/>
        </w:rPr>
        <w:t>ROI and estimated cost savings show a correlation of 0.54. Automation rate and FTE hours saved have a low correlation of 0.04 in this dataset, showing that the available records do not indicate a strong linear relationship between these two variables.</w:t>
      </w:r>
    </w:p>
    <w:p>
      <w:pPr>
        <w:spacing w:before="160" w:after="100"/>
        <w:jc w:val="left"/>
      </w:pPr>
      <w:r>
        <w:rPr>
          <w:rFonts w:ascii="Times New Roman" w:hAnsi="Times New Roman"/>
          <w:b/>
          <w:color w:val="000000"/>
          <w:sz w:val="26"/>
        </w:rPr>
        <w:t>21. Power BI Dashboard</w:t>
      </w:r>
    </w:p>
    <w:p>
      <w:pPr>
        <w:jc w:val="both"/>
      </w:pPr>
      <w:r>
        <w:rPr>
          <w:rFonts w:ascii="Times New Roman" w:hAnsi="Times New Roman"/>
          <w:color w:val="000000"/>
          <w:sz w:val="22"/>
        </w:rPr>
        <w:t>Power BI can be used as the reporting and interactive visualization layer for this project. The dashboard can present high-level KPIs and allow users to filter the analysis by year, region, country, bank, technology, AI use case and maturity.</w:t>
      </w:r>
    </w:p>
    <w:tbl>
      <w:tblPr>
        <w:tblStyle w:val="TableGrid"/>
        <w:tblW w:type="auto" w:w="0"/>
        <w:jc w:val="center"/>
        <w:tblLook w:firstColumn="1" w:firstRow="1" w:lastColumn="0" w:lastRow="0" w:noHBand="0" w:noVBand="1" w:val="04A0"/>
      </w:tblPr>
      <w:tblGrid>
        <w:gridCol w:w="5040"/>
        <w:gridCol w:w="5040"/>
      </w:tblGrid>
      <w:tr>
        <w:tc>
          <w:tcPr>
            <w:tcW w:type="dxa" w:w="5040"/>
            <w:shd w:fill="E7E6E6"/>
          </w:tcPr>
          <w:p>
            <w:r>
              <w:rPr>
                <w:rFonts w:ascii="Times New Roman" w:hAnsi="Times New Roman"/>
                <w:b/>
                <w:color w:val="000000"/>
                <w:sz w:val="21"/>
              </w:rPr>
              <w:t>Dashboard Component</w:t>
            </w:r>
          </w:p>
        </w:tc>
        <w:tc>
          <w:tcPr>
            <w:tcW w:type="dxa" w:w="5040"/>
            <w:shd w:fill="E7E6E6"/>
          </w:tcPr>
          <w:p>
            <w:r>
              <w:rPr>
                <w:rFonts w:ascii="Times New Roman" w:hAnsi="Times New Roman"/>
                <w:b/>
                <w:color w:val="000000"/>
                <w:sz w:val="21"/>
              </w:rPr>
              <w:t>Purpose</w:t>
            </w:r>
          </w:p>
        </w:tc>
      </w:tr>
      <w:tr>
        <w:tc>
          <w:tcPr>
            <w:tcW w:type="dxa" w:w="5040"/>
            <w:vAlign w:val="center"/>
          </w:tcPr>
          <w:p>
            <w:r>
              <w:rPr>
                <w:rFonts w:ascii="Times New Roman" w:hAnsi="Times New Roman"/>
                <w:color w:val="000000"/>
                <w:sz w:val="21"/>
              </w:rPr>
              <w:t>KPI Cards</w:t>
            </w:r>
          </w:p>
        </w:tc>
        <w:tc>
          <w:tcPr>
            <w:tcW w:type="dxa" w:w="5040"/>
            <w:vAlign w:val="center"/>
          </w:tcPr>
          <w:p>
            <w:r>
              <w:rPr>
                <w:rFonts w:ascii="Times New Roman" w:hAnsi="Times New Roman"/>
                <w:color w:val="000000"/>
                <w:sz w:val="21"/>
              </w:rPr>
              <w:t>Total AI Spend, Cost Savings, Net Benefit, Average ROI, Automation Rate and AI Projects</w:t>
            </w:r>
          </w:p>
        </w:tc>
      </w:tr>
      <w:tr>
        <w:tc>
          <w:tcPr>
            <w:tcW w:type="dxa" w:w="5040"/>
            <w:vAlign w:val="center"/>
          </w:tcPr>
          <w:p>
            <w:r>
              <w:rPr>
                <w:rFonts w:ascii="Times New Roman" w:hAnsi="Times New Roman"/>
                <w:color w:val="000000"/>
                <w:sz w:val="21"/>
              </w:rPr>
              <w:t>Year-wise Trend</w:t>
            </w:r>
          </w:p>
        </w:tc>
        <w:tc>
          <w:tcPr>
            <w:tcW w:type="dxa" w:w="5040"/>
            <w:vAlign w:val="center"/>
          </w:tcPr>
          <w:p>
            <w:r>
              <w:rPr>
                <w:rFonts w:ascii="Times New Roman" w:hAnsi="Times New Roman"/>
                <w:color w:val="000000"/>
                <w:sz w:val="21"/>
              </w:rPr>
              <w:t>Track changes in AI spending and savings over time</w:t>
            </w:r>
          </w:p>
        </w:tc>
      </w:tr>
      <w:tr>
        <w:tc>
          <w:tcPr>
            <w:tcW w:type="dxa" w:w="5040"/>
            <w:vAlign w:val="center"/>
          </w:tcPr>
          <w:p>
            <w:r>
              <w:rPr>
                <w:rFonts w:ascii="Times New Roman" w:hAnsi="Times New Roman"/>
                <w:color w:val="000000"/>
                <w:sz w:val="21"/>
              </w:rPr>
              <w:t>Region/Country Analysis</w:t>
            </w:r>
          </w:p>
        </w:tc>
        <w:tc>
          <w:tcPr>
            <w:tcW w:type="dxa" w:w="5040"/>
            <w:vAlign w:val="center"/>
          </w:tcPr>
          <w:p>
            <w:r>
              <w:rPr>
                <w:rFonts w:ascii="Times New Roman" w:hAnsi="Times New Roman"/>
                <w:color w:val="000000"/>
                <w:sz w:val="21"/>
              </w:rPr>
              <w:t>Compare geographical investment patterns</w:t>
            </w:r>
          </w:p>
        </w:tc>
      </w:tr>
      <w:tr>
        <w:tc>
          <w:tcPr>
            <w:tcW w:type="dxa" w:w="5040"/>
            <w:vAlign w:val="center"/>
          </w:tcPr>
          <w:p>
            <w:r>
              <w:rPr>
                <w:rFonts w:ascii="Times New Roman" w:hAnsi="Times New Roman"/>
                <w:color w:val="000000"/>
                <w:sz w:val="21"/>
              </w:rPr>
              <w:t>Technology Analysis</w:t>
            </w:r>
          </w:p>
        </w:tc>
        <w:tc>
          <w:tcPr>
            <w:tcW w:type="dxa" w:w="5040"/>
            <w:vAlign w:val="center"/>
          </w:tcPr>
          <w:p>
            <w:r>
              <w:rPr>
                <w:rFonts w:ascii="Times New Roman" w:hAnsi="Times New Roman"/>
                <w:color w:val="000000"/>
                <w:sz w:val="21"/>
              </w:rPr>
              <w:t>Compare spend, ROI and automation by technology</w:t>
            </w:r>
          </w:p>
        </w:tc>
      </w:tr>
      <w:tr>
        <w:tc>
          <w:tcPr>
            <w:tcW w:type="dxa" w:w="5040"/>
            <w:vAlign w:val="center"/>
          </w:tcPr>
          <w:p>
            <w:r>
              <w:rPr>
                <w:rFonts w:ascii="Times New Roman" w:hAnsi="Times New Roman"/>
                <w:color w:val="000000"/>
                <w:sz w:val="21"/>
              </w:rPr>
              <w:t>Use Case Analysis</w:t>
            </w:r>
          </w:p>
        </w:tc>
        <w:tc>
          <w:tcPr>
            <w:tcW w:type="dxa" w:w="5040"/>
            <w:vAlign w:val="center"/>
          </w:tcPr>
          <w:p>
            <w:r>
              <w:rPr>
                <w:rFonts w:ascii="Times New Roman" w:hAnsi="Times New Roman"/>
                <w:color w:val="000000"/>
                <w:sz w:val="21"/>
              </w:rPr>
              <w:t>Identify high-spend and high-project AI applications</w:t>
            </w:r>
          </w:p>
        </w:tc>
      </w:tr>
      <w:tr>
        <w:tc>
          <w:tcPr>
            <w:tcW w:type="dxa" w:w="5040"/>
            <w:vAlign w:val="center"/>
          </w:tcPr>
          <w:p>
            <w:r>
              <w:rPr>
                <w:rFonts w:ascii="Times New Roman" w:hAnsi="Times New Roman"/>
                <w:color w:val="000000"/>
                <w:sz w:val="21"/>
              </w:rPr>
              <w:t>Maturity Analysis</w:t>
            </w:r>
          </w:p>
        </w:tc>
        <w:tc>
          <w:tcPr>
            <w:tcW w:type="dxa" w:w="5040"/>
            <w:vAlign w:val="center"/>
          </w:tcPr>
          <w:p>
            <w:r>
              <w:rPr>
                <w:rFonts w:ascii="Times New Roman" w:hAnsi="Times New Roman"/>
                <w:color w:val="000000"/>
                <w:sz w:val="21"/>
              </w:rPr>
              <w:t>Compare Pilot, Scaling and Production performance</w:t>
            </w:r>
          </w:p>
        </w:tc>
      </w:tr>
      <w:tr>
        <w:tc>
          <w:tcPr>
            <w:tcW w:type="dxa" w:w="5040"/>
            <w:vAlign w:val="center"/>
          </w:tcPr>
          <w:p>
            <w:r>
              <w:rPr>
                <w:rFonts w:ascii="Times New Roman" w:hAnsi="Times New Roman"/>
                <w:color w:val="000000"/>
                <w:sz w:val="21"/>
              </w:rPr>
              <w:t>Slicers</w:t>
            </w:r>
          </w:p>
        </w:tc>
        <w:tc>
          <w:tcPr>
            <w:tcW w:type="dxa" w:w="5040"/>
            <w:vAlign w:val="center"/>
          </w:tcPr>
          <w:p>
            <w:r>
              <w:rPr>
                <w:rFonts w:ascii="Times New Roman" w:hAnsi="Times New Roman"/>
                <w:color w:val="000000"/>
                <w:sz w:val="21"/>
              </w:rPr>
              <w:t>Enable interactive filtering by key dimensions</w:t>
            </w:r>
          </w:p>
        </w:tc>
      </w:tr>
    </w:tbl>
    <w:p>
      <w:pPr>
        <w:jc w:val="both"/>
      </w:pPr>
    </w:p>
    <w:p>
      <w:pPr>
        <w:jc w:val="both"/>
      </w:pPr>
      <w:r>
        <w:rPr>
          <w:rFonts w:ascii="Times New Roman" w:hAnsi="Times New Roman"/>
          <w:color w:val="000000"/>
          <w:sz w:val="22"/>
        </w:rPr>
        <w:t>An interactive dashboard makes it easier for managers and analysts to move from overall KPIs to detailed investment and operational analysis.</w:t>
      </w:r>
    </w:p>
    <w:p>
      <w:pPr>
        <w:spacing w:before="160" w:after="100"/>
        <w:jc w:val="left"/>
      </w:pPr>
      <w:r>
        <w:rPr>
          <w:rFonts w:ascii="Times New Roman" w:hAnsi="Times New Roman"/>
          <w:b/>
          <w:color w:val="000000"/>
          <w:sz w:val="26"/>
        </w:rPr>
        <w:t>22. Results</w:t>
      </w:r>
    </w:p>
    <w:p>
      <w:pPr>
        <w:pStyle w:val="ListBullet"/>
        <w:jc w:val="both"/>
      </w:pPr>
      <w:r>
        <w:rPr>
          <w:rFonts w:ascii="Times New Roman" w:hAnsi="Times New Roman"/>
          <w:color w:val="000000"/>
          <w:sz w:val="22"/>
        </w:rPr>
        <w:t>The cleaned dataset contains 72 records covering 2020 to 2025.</w:t>
      </w:r>
    </w:p>
    <w:p>
      <w:pPr>
        <w:pStyle w:val="ListBullet"/>
        <w:jc w:val="both"/>
      </w:pPr>
      <w:r>
        <w:rPr>
          <w:rFonts w:ascii="Times New Roman" w:hAnsi="Times New Roman"/>
          <w:color w:val="000000"/>
          <w:sz w:val="22"/>
        </w:rPr>
        <w:t>The dataset contains 12 countries, 4 regions, 27 banks, 10 AI use cases and 4 technologies.</w:t>
      </w:r>
    </w:p>
    <w:p>
      <w:pPr>
        <w:pStyle w:val="ListBullet"/>
        <w:jc w:val="both"/>
      </w:pPr>
      <w:r>
        <w:rPr>
          <w:rFonts w:ascii="Times New Roman" w:hAnsi="Times New Roman"/>
          <w:color w:val="000000"/>
          <w:sz w:val="22"/>
        </w:rPr>
        <w:t>Total recorded AI spending is approximately USD 395.31 million.</w:t>
      </w:r>
    </w:p>
    <w:p>
      <w:pPr>
        <w:pStyle w:val="ListBullet"/>
        <w:jc w:val="both"/>
      </w:pPr>
      <w:r>
        <w:rPr>
          <w:rFonts w:ascii="Times New Roman" w:hAnsi="Times New Roman"/>
          <w:color w:val="000000"/>
          <w:sz w:val="22"/>
        </w:rPr>
        <w:t>Estimated total cost savings are approximately USD 403.37 million.</w:t>
      </w:r>
    </w:p>
    <w:p>
      <w:pPr>
        <w:pStyle w:val="ListBullet"/>
        <w:jc w:val="both"/>
      </w:pPr>
      <w:r>
        <w:rPr>
          <w:rFonts w:ascii="Times New Roman" w:hAnsi="Times New Roman"/>
          <w:color w:val="000000"/>
          <w:sz w:val="22"/>
        </w:rPr>
        <w:t>Aggregate net benefit is approximately USD 8.06 million.</w:t>
      </w:r>
    </w:p>
    <w:p>
      <w:pPr>
        <w:pStyle w:val="ListBullet"/>
        <w:jc w:val="both"/>
      </w:pPr>
      <w:r>
        <w:rPr>
          <w:rFonts w:ascii="Times New Roman" w:hAnsi="Times New Roman"/>
          <w:color w:val="000000"/>
          <w:sz w:val="22"/>
        </w:rPr>
        <w:t>Average ROI is 3.03x.</w:t>
      </w:r>
    </w:p>
    <w:p>
      <w:pPr>
        <w:pStyle w:val="ListBullet"/>
        <w:jc w:val="both"/>
      </w:pPr>
      <w:r>
        <w:rPr>
          <w:rFonts w:ascii="Times New Roman" w:hAnsi="Times New Roman"/>
          <w:color w:val="000000"/>
          <w:sz w:val="22"/>
        </w:rPr>
        <w:t>Average automation rate is 48.27%.</w:t>
      </w:r>
    </w:p>
    <w:p>
      <w:pPr>
        <w:pStyle w:val="ListBullet"/>
        <w:jc w:val="both"/>
      </w:pPr>
      <w:r>
        <w:rPr>
          <w:rFonts w:ascii="Times New Roman" w:hAnsi="Times New Roman"/>
          <w:color w:val="000000"/>
          <w:sz w:val="22"/>
        </w:rPr>
        <w:t>Total AI projects represented in the records are 675.</w:t>
      </w:r>
    </w:p>
    <w:p>
      <w:pPr>
        <w:pStyle w:val="ListBullet"/>
        <w:jc w:val="both"/>
      </w:pPr>
      <w:r>
        <w:rPr>
          <w:rFonts w:ascii="Times New Roman" w:hAnsi="Times New Roman"/>
          <w:color w:val="000000"/>
          <w:sz w:val="22"/>
        </w:rPr>
        <w:t>Total monthly FTE hours saved across the records are 49118.</w:t>
      </w:r>
    </w:p>
    <w:p>
      <w:pPr>
        <w:pStyle w:val="ListBullet"/>
        <w:jc w:val="both"/>
      </w:pPr>
      <w:r>
        <w:rPr>
          <w:rFonts w:ascii="Times New Roman" w:hAnsi="Times New Roman"/>
          <w:color w:val="000000"/>
          <w:sz w:val="22"/>
        </w:rPr>
        <w:t>2025 has the highest total AI spending in the study period.</w:t>
      </w:r>
    </w:p>
    <w:p>
      <w:pPr>
        <w:pStyle w:val="ListBullet"/>
        <w:jc w:val="both"/>
      </w:pPr>
      <w:r>
        <w:rPr>
          <w:rFonts w:ascii="Times New Roman" w:hAnsi="Times New Roman"/>
          <w:color w:val="000000"/>
          <w:sz w:val="22"/>
        </w:rPr>
        <w:t>Europe has the highest total recorded spending among the four regions.</w:t>
      </w:r>
    </w:p>
    <w:p>
      <w:pPr>
        <w:pStyle w:val="ListBullet"/>
        <w:jc w:val="both"/>
      </w:pPr>
      <w:r>
        <w:rPr>
          <w:rFonts w:ascii="Times New Roman" w:hAnsi="Times New Roman"/>
          <w:color w:val="000000"/>
          <w:sz w:val="22"/>
        </w:rPr>
        <w:t>RPA + AI has the highest total spending among the technologies.</w:t>
      </w:r>
    </w:p>
    <w:p>
      <w:pPr>
        <w:pStyle w:val="ListBullet"/>
        <w:jc w:val="both"/>
      </w:pPr>
      <w:r>
        <w:rPr>
          <w:rFonts w:ascii="Times New Roman" w:hAnsi="Times New Roman"/>
          <w:color w:val="000000"/>
          <w:sz w:val="22"/>
        </w:rPr>
        <w:t>Generative AI has the highest average ROI among the technologies.</w:t>
      </w:r>
    </w:p>
    <w:p>
      <w:pPr>
        <w:pStyle w:val="ListBullet"/>
        <w:jc w:val="both"/>
      </w:pPr>
      <w:r>
        <w:rPr>
          <w:rFonts w:ascii="Times New Roman" w:hAnsi="Times New Roman"/>
          <w:color w:val="000000"/>
          <w:sz w:val="22"/>
        </w:rPr>
        <w:t>Production maturity has the highest average automation rate.</w:t>
      </w:r>
    </w:p>
    <w:p>
      <w:pPr>
        <w:spacing w:before="160" w:after="100"/>
        <w:jc w:val="left"/>
      </w:pPr>
      <w:r>
        <w:rPr>
          <w:rFonts w:ascii="Times New Roman" w:hAnsi="Times New Roman"/>
          <w:b/>
          <w:color w:val="000000"/>
          <w:sz w:val="26"/>
        </w:rPr>
        <w:t>23. Discussion</w:t>
      </w:r>
    </w:p>
    <w:p>
      <w:pPr>
        <w:jc w:val="both"/>
      </w:pPr>
      <w:r>
        <w:rPr>
          <w:rFonts w:ascii="Times New Roman" w:hAnsi="Times New Roman"/>
          <w:color w:val="000000"/>
          <w:sz w:val="22"/>
        </w:rPr>
        <w:t>The analysis indicates that AI investment in the supplied banking records increased substantially between 2020 and 2025. Spending growth is accompanied by increased estimated savings, although the relationship between investment and business impact differs across technologies, countries, banks and use cases.</w:t>
      </w:r>
    </w:p>
    <w:p>
      <w:pPr>
        <w:jc w:val="both"/>
      </w:pPr>
      <w:r>
        <w:rPr>
          <w:rFonts w:ascii="Times New Roman" w:hAnsi="Times New Roman"/>
          <w:color w:val="000000"/>
          <w:sz w:val="22"/>
        </w:rPr>
        <w:t>The technology analysis shows that RPA + AI has the largest spending volume, while Generative AI has the highest average ROI. The maturity analysis shows stronger average automation and ROI for Production-stage records compared with Pilot and Scaling records. This suggests that maturity is an important dimension when evaluating AI performance, although the dataset is descriptive and does not establish causality.</w:t>
      </w:r>
    </w:p>
    <w:p>
      <w:pPr>
        <w:jc w:val="both"/>
      </w:pPr>
      <w:r>
        <w:rPr>
          <w:rFonts w:ascii="Times New Roman" w:hAnsi="Times New Roman"/>
          <w:color w:val="000000"/>
          <w:sz w:val="22"/>
        </w:rPr>
        <w:t>The project demonstrates that combining financial indicators with operational indicators such as automation rate, FTE hours saved and number of AI projects provides a broader view of AI adoption in banking.</w:t>
      </w:r>
    </w:p>
    <w:p>
      <w:pPr>
        <w:spacing w:before="160" w:after="100"/>
        <w:jc w:val="left"/>
      </w:pPr>
      <w:r>
        <w:rPr>
          <w:rFonts w:ascii="Times New Roman" w:hAnsi="Times New Roman"/>
          <w:b/>
          <w:color w:val="000000"/>
          <w:sz w:val="26"/>
        </w:rPr>
        <w:t>24. Limitations</w:t>
      </w:r>
    </w:p>
    <w:p>
      <w:pPr>
        <w:pStyle w:val="ListBullet"/>
        <w:jc w:val="both"/>
      </w:pPr>
      <w:r>
        <w:rPr>
          <w:rFonts w:ascii="Times New Roman" w:hAnsi="Times New Roman"/>
          <w:color w:val="000000"/>
          <w:sz w:val="22"/>
        </w:rPr>
        <w:t>The dataset contains only 72 records and may not represent the entire global banking sector.</w:t>
      </w:r>
    </w:p>
    <w:p>
      <w:pPr>
        <w:pStyle w:val="ListBullet"/>
        <w:jc w:val="both"/>
      </w:pPr>
      <w:r>
        <w:rPr>
          <w:rFonts w:ascii="Times New Roman" w:hAnsi="Times New Roman"/>
          <w:color w:val="000000"/>
          <w:sz w:val="22"/>
        </w:rPr>
        <w:t>The values represent the records included in the project and should not be treated as official industry statistics.</w:t>
      </w:r>
    </w:p>
    <w:p>
      <w:pPr>
        <w:pStyle w:val="ListBullet"/>
        <w:jc w:val="both"/>
      </w:pPr>
      <w:r>
        <w:rPr>
          <w:rFonts w:ascii="Times New Roman" w:hAnsi="Times New Roman"/>
          <w:color w:val="000000"/>
          <w:sz w:val="22"/>
        </w:rPr>
        <w:t>Estimated cost savings may differ from actual realized savings.</w:t>
      </w:r>
    </w:p>
    <w:p>
      <w:pPr>
        <w:pStyle w:val="ListBullet"/>
        <w:jc w:val="both"/>
      </w:pPr>
      <w:r>
        <w:rPr>
          <w:rFonts w:ascii="Times New Roman" w:hAnsi="Times New Roman"/>
          <w:color w:val="000000"/>
          <w:sz w:val="22"/>
        </w:rPr>
        <w:t>The analysis is mainly descriptive and does not establish causal relationships.</w:t>
      </w:r>
    </w:p>
    <w:p>
      <w:pPr>
        <w:pStyle w:val="ListBullet"/>
        <w:jc w:val="both"/>
      </w:pPr>
      <w:r>
        <w:rPr>
          <w:rFonts w:ascii="Times New Roman" w:hAnsi="Times New Roman"/>
          <w:color w:val="000000"/>
          <w:sz w:val="22"/>
        </w:rPr>
        <w:t>External factors such as regulatory changes, macroeconomic conditions and bank-specific strategies are not included.</w:t>
      </w:r>
    </w:p>
    <w:p>
      <w:pPr>
        <w:pStyle w:val="ListBullet"/>
        <w:jc w:val="both"/>
      </w:pPr>
      <w:r>
        <w:rPr>
          <w:rFonts w:ascii="Times New Roman" w:hAnsi="Times New Roman"/>
          <w:color w:val="000000"/>
          <w:sz w:val="22"/>
        </w:rPr>
        <w:t>The dataset covers 2020 to 2025 and may not represent the latest future investment patterns.</w:t>
      </w:r>
    </w:p>
    <w:p>
      <w:pPr>
        <w:pStyle w:val="ListBullet"/>
        <w:jc w:val="both"/>
      </w:pPr>
      <w:r>
        <w:rPr>
          <w:rFonts w:ascii="Times New Roman" w:hAnsi="Times New Roman"/>
          <w:color w:val="000000"/>
          <w:sz w:val="22"/>
        </w:rPr>
        <w:t>Country and regional comparisons depend on the distribution of records in the supplied dataset.</w:t>
      </w:r>
    </w:p>
    <w:p>
      <w:pPr>
        <w:spacing w:before="160" w:after="100"/>
        <w:jc w:val="left"/>
      </w:pPr>
      <w:r>
        <w:rPr>
          <w:rFonts w:ascii="Times New Roman" w:hAnsi="Times New Roman"/>
          <w:b/>
          <w:color w:val="000000"/>
          <w:sz w:val="26"/>
        </w:rPr>
        <w:t>25. Future Scope</w:t>
      </w:r>
    </w:p>
    <w:p>
      <w:pPr>
        <w:pStyle w:val="ListBullet"/>
        <w:jc w:val="both"/>
      </w:pPr>
      <w:r>
        <w:rPr>
          <w:rFonts w:ascii="Times New Roman" w:hAnsi="Times New Roman"/>
          <w:color w:val="000000"/>
          <w:sz w:val="22"/>
        </w:rPr>
        <w:t>Add more banks, countries and years to increase coverage.</w:t>
      </w:r>
    </w:p>
    <w:p>
      <w:pPr>
        <w:pStyle w:val="ListBullet"/>
        <w:jc w:val="both"/>
      </w:pPr>
      <w:r>
        <w:rPr>
          <w:rFonts w:ascii="Times New Roman" w:hAnsi="Times New Roman"/>
          <w:color w:val="000000"/>
          <w:sz w:val="22"/>
        </w:rPr>
        <w:t>Add actual financial outcomes and realized savings where available.</w:t>
      </w:r>
    </w:p>
    <w:p>
      <w:pPr>
        <w:pStyle w:val="ListBullet"/>
        <w:jc w:val="both"/>
      </w:pPr>
      <w:r>
        <w:rPr>
          <w:rFonts w:ascii="Times New Roman" w:hAnsi="Times New Roman"/>
          <w:color w:val="000000"/>
          <w:sz w:val="22"/>
        </w:rPr>
        <w:t>Add investor/vendor and AI solution provider analysis.</w:t>
      </w:r>
    </w:p>
    <w:p>
      <w:pPr>
        <w:pStyle w:val="ListBullet"/>
        <w:jc w:val="both"/>
      </w:pPr>
      <w:r>
        <w:rPr>
          <w:rFonts w:ascii="Times New Roman" w:hAnsi="Times New Roman"/>
          <w:color w:val="000000"/>
          <w:sz w:val="22"/>
        </w:rPr>
        <w:t>Add employee productivity and workforce impact analysis.</w:t>
      </w:r>
    </w:p>
    <w:p>
      <w:pPr>
        <w:pStyle w:val="ListBullet"/>
        <w:jc w:val="both"/>
      </w:pPr>
      <w:r>
        <w:rPr>
          <w:rFonts w:ascii="Times New Roman" w:hAnsi="Times New Roman"/>
          <w:color w:val="000000"/>
          <w:sz w:val="22"/>
        </w:rPr>
        <w:t>Use machine learning to predict future AI spending or expected savings.</w:t>
      </w:r>
    </w:p>
    <w:p>
      <w:pPr>
        <w:pStyle w:val="ListBullet"/>
        <w:jc w:val="both"/>
      </w:pPr>
      <w:r>
        <w:rPr>
          <w:rFonts w:ascii="Times New Roman" w:hAnsi="Times New Roman"/>
          <w:color w:val="000000"/>
          <w:sz w:val="22"/>
        </w:rPr>
        <w:t>Perform time-series forecasting for AI investment trends.</w:t>
      </w:r>
    </w:p>
    <w:p>
      <w:pPr>
        <w:pStyle w:val="ListBullet"/>
        <w:jc w:val="both"/>
      </w:pPr>
      <w:r>
        <w:rPr>
          <w:rFonts w:ascii="Times New Roman" w:hAnsi="Times New Roman"/>
          <w:color w:val="000000"/>
          <w:sz w:val="22"/>
        </w:rPr>
        <w:t>Add real-time or automated data refresh.</w:t>
      </w:r>
    </w:p>
    <w:p>
      <w:pPr>
        <w:pStyle w:val="ListBullet"/>
        <w:jc w:val="both"/>
      </w:pPr>
      <w:r>
        <w:rPr>
          <w:rFonts w:ascii="Times New Roman" w:hAnsi="Times New Roman"/>
          <w:color w:val="000000"/>
          <w:sz w:val="22"/>
        </w:rPr>
        <w:t>Connect Power BI directly to MySQL for automated reporting.</w:t>
      </w:r>
    </w:p>
    <w:p>
      <w:pPr>
        <w:pStyle w:val="ListBullet"/>
        <w:jc w:val="both"/>
      </w:pPr>
      <w:r>
        <w:rPr>
          <w:rFonts w:ascii="Times New Roman" w:hAnsi="Times New Roman"/>
          <w:color w:val="000000"/>
          <w:sz w:val="22"/>
        </w:rPr>
        <w:t>Add scenario analysis for different AI investment levels.</w:t>
      </w:r>
    </w:p>
    <w:p>
      <w:pPr>
        <w:pStyle w:val="ListBullet"/>
        <w:jc w:val="both"/>
      </w:pPr>
      <w:r>
        <w:rPr>
          <w:rFonts w:ascii="Times New Roman" w:hAnsi="Times New Roman"/>
          <w:color w:val="000000"/>
          <w:sz w:val="22"/>
        </w:rPr>
        <w:t>Develop a scoring model for prioritizing high-impact AI initiatives.</w:t>
      </w:r>
    </w:p>
    <w:p>
      <w:pPr>
        <w:spacing w:before="160" w:after="100"/>
        <w:jc w:val="left"/>
      </w:pPr>
      <w:r>
        <w:rPr>
          <w:rFonts w:ascii="Times New Roman" w:hAnsi="Times New Roman"/>
          <w:b/>
          <w:color w:val="000000"/>
          <w:sz w:val="26"/>
        </w:rPr>
        <w:t>26. Conclusion</w:t>
      </w:r>
    </w:p>
    <w:p>
      <w:pPr>
        <w:jc w:val="both"/>
      </w:pPr>
      <w:r>
        <w:rPr>
          <w:rFonts w:ascii="Times New Roman" w:hAnsi="Times New Roman"/>
          <w:color w:val="000000"/>
          <w:sz w:val="22"/>
        </w:rPr>
        <w:t>The AI/Automation Spend in Banking Sector Analysis project demonstrates a complete practical data analytics workflow for evaluating AI investment and business impact in banking. The workflow begins with a raw CSV dataset, followed by data validation, cleaning, feature engineering and exploratory analysis.</w:t>
      </w:r>
    </w:p>
    <w:p>
      <w:pPr>
        <w:jc w:val="both"/>
      </w:pPr>
      <w:r>
        <w:rPr>
          <w:rFonts w:ascii="Times New Roman" w:hAnsi="Times New Roman"/>
          <w:color w:val="000000"/>
          <w:sz w:val="22"/>
        </w:rPr>
        <w:t>Python, Pandas and NumPy are used for data processing and calculations. MySQL and SQL provide structured database analysis, while Matplotlib and Seaborn support graphical and statistical visualization. Power BI can then be used to present the results through an interactive management dashboard.</w:t>
      </w:r>
    </w:p>
    <w:p>
      <w:pPr>
        <w:jc w:val="both"/>
      </w:pPr>
      <w:r>
        <w:rPr>
          <w:rFonts w:ascii="Times New Roman" w:hAnsi="Times New Roman"/>
          <w:color w:val="000000"/>
          <w:sz w:val="22"/>
        </w:rPr>
        <w:t>The supplied cleaned dataset contains 72 records from 2020 to 2025, covering 12 countries, 4 regions, 27 banks, 10 AI use cases and 4 technologies. The records represent USD 395.31 million in AI spending and USD 403.37 million in estimated cost savings, with an average ROI of 3.03x and average automation rate of 48.27%.</w:t>
      </w:r>
    </w:p>
    <w:p>
      <w:pPr>
        <w:jc w:val="both"/>
      </w:pPr>
      <w:r>
        <w:rPr>
          <w:rFonts w:ascii="Times New Roman" w:hAnsi="Times New Roman"/>
          <w:color w:val="000000"/>
          <w:sz w:val="22"/>
        </w:rPr>
        <w:t>Overall, the project shows how data analytics can transform banking AI investment records into measurable business insights and support data-driven decisions about AI adoption, automation, cost efficiency and operational impact.</w:t>
      </w:r>
    </w:p>
    <w:p>
      <w:pPr>
        <w:spacing w:before="160" w:after="100"/>
        <w:jc w:val="left"/>
      </w:pPr>
      <w:r>
        <w:rPr>
          <w:rFonts w:ascii="Times New Roman" w:hAnsi="Times New Roman"/>
          <w:b/>
          <w:color w:val="000000"/>
          <w:sz w:val="26"/>
        </w:rPr>
        <w:t>27. Project Workflow Summary</w:t>
      </w:r>
    </w:p>
    <w:tbl>
      <w:tblPr>
        <w:tblStyle w:val="TableGrid"/>
        <w:tblW w:type="auto" w:w="0"/>
        <w:jc w:val="center"/>
        <w:tblLook w:firstColumn="1" w:firstRow="1" w:lastColumn="0" w:lastRow="0" w:noHBand="0" w:noVBand="1" w:val="04A0"/>
      </w:tblPr>
      <w:tblGrid>
        <w:gridCol w:w="5040"/>
        <w:gridCol w:w="5040"/>
      </w:tblGrid>
      <w:tr>
        <w:tc>
          <w:tcPr>
            <w:tcW w:type="dxa" w:w="5040"/>
            <w:shd w:fill="E7E6E6"/>
          </w:tcPr>
          <w:p>
            <w:r>
              <w:rPr>
                <w:rFonts w:ascii="Times New Roman" w:hAnsi="Times New Roman"/>
                <w:b/>
                <w:color w:val="000000"/>
                <w:sz w:val="21"/>
              </w:rPr>
              <w:t>Stage</w:t>
            </w:r>
          </w:p>
        </w:tc>
        <w:tc>
          <w:tcPr>
            <w:tcW w:type="dxa" w:w="5040"/>
            <w:shd w:fill="E7E6E6"/>
          </w:tcPr>
          <w:p>
            <w:r>
              <w:rPr>
                <w:rFonts w:ascii="Times New Roman" w:hAnsi="Times New Roman"/>
                <w:b/>
                <w:color w:val="000000"/>
                <w:sz w:val="21"/>
              </w:rPr>
              <w:t>Tools / Output</w:t>
            </w:r>
          </w:p>
        </w:tc>
      </w:tr>
      <w:tr>
        <w:tc>
          <w:tcPr>
            <w:tcW w:type="dxa" w:w="5040"/>
            <w:vAlign w:val="center"/>
          </w:tcPr>
          <w:p>
            <w:r>
              <w:rPr>
                <w:rFonts w:ascii="Times New Roman" w:hAnsi="Times New Roman"/>
                <w:color w:val="000000"/>
                <w:sz w:val="21"/>
              </w:rPr>
              <w:t>Data Collection</w:t>
            </w:r>
          </w:p>
        </w:tc>
        <w:tc>
          <w:tcPr>
            <w:tcW w:type="dxa" w:w="5040"/>
            <w:vAlign w:val="center"/>
          </w:tcPr>
          <w:p>
            <w:r>
              <w:rPr>
                <w:rFonts w:ascii="Times New Roman" w:hAnsi="Times New Roman"/>
                <w:color w:val="000000"/>
                <w:sz w:val="21"/>
              </w:rPr>
              <w:t>CSV banking AI/automation dataset</w:t>
            </w:r>
          </w:p>
        </w:tc>
      </w:tr>
      <w:tr>
        <w:tc>
          <w:tcPr>
            <w:tcW w:type="dxa" w:w="5040"/>
            <w:vAlign w:val="center"/>
          </w:tcPr>
          <w:p>
            <w:r>
              <w:rPr>
                <w:rFonts w:ascii="Times New Roman" w:hAnsi="Times New Roman"/>
                <w:color w:val="000000"/>
                <w:sz w:val="21"/>
              </w:rPr>
              <w:t>Data Cleaning</w:t>
            </w:r>
          </w:p>
        </w:tc>
        <w:tc>
          <w:tcPr>
            <w:tcW w:type="dxa" w:w="5040"/>
            <w:vAlign w:val="center"/>
          </w:tcPr>
          <w:p>
            <w:r>
              <w:rPr>
                <w:rFonts w:ascii="Times New Roman" w:hAnsi="Times New Roman"/>
                <w:color w:val="000000"/>
                <w:sz w:val="21"/>
              </w:rPr>
              <w:t>Python, Pandas</w:t>
            </w:r>
          </w:p>
        </w:tc>
      </w:tr>
      <w:tr>
        <w:tc>
          <w:tcPr>
            <w:tcW w:type="dxa" w:w="5040"/>
            <w:vAlign w:val="center"/>
          </w:tcPr>
          <w:p>
            <w:r>
              <w:rPr>
                <w:rFonts w:ascii="Times New Roman" w:hAnsi="Times New Roman"/>
                <w:color w:val="000000"/>
                <w:sz w:val="21"/>
              </w:rPr>
              <w:t>Feature Engineering</w:t>
            </w:r>
          </w:p>
        </w:tc>
        <w:tc>
          <w:tcPr>
            <w:tcW w:type="dxa" w:w="5040"/>
            <w:vAlign w:val="center"/>
          </w:tcPr>
          <w:p>
            <w:r>
              <w:rPr>
                <w:rFonts w:ascii="Times New Roman" w:hAnsi="Times New Roman"/>
                <w:color w:val="000000"/>
                <w:sz w:val="21"/>
              </w:rPr>
              <w:t>Pandas, NumPy</w:t>
            </w:r>
          </w:p>
        </w:tc>
      </w:tr>
      <w:tr>
        <w:tc>
          <w:tcPr>
            <w:tcW w:type="dxa" w:w="5040"/>
            <w:vAlign w:val="center"/>
          </w:tcPr>
          <w:p>
            <w:r>
              <w:rPr>
                <w:rFonts w:ascii="Times New Roman" w:hAnsi="Times New Roman"/>
                <w:color w:val="000000"/>
                <w:sz w:val="21"/>
              </w:rPr>
              <w:t>EDA</w:t>
            </w:r>
          </w:p>
        </w:tc>
        <w:tc>
          <w:tcPr>
            <w:tcW w:type="dxa" w:w="5040"/>
            <w:vAlign w:val="center"/>
          </w:tcPr>
          <w:p>
            <w:r>
              <w:rPr>
                <w:rFonts w:ascii="Times New Roman" w:hAnsi="Times New Roman"/>
                <w:color w:val="000000"/>
                <w:sz w:val="21"/>
              </w:rPr>
              <w:t>Pandas, NumPy</w:t>
            </w:r>
          </w:p>
        </w:tc>
      </w:tr>
      <w:tr>
        <w:tc>
          <w:tcPr>
            <w:tcW w:type="dxa" w:w="5040"/>
            <w:vAlign w:val="center"/>
          </w:tcPr>
          <w:p>
            <w:r>
              <w:rPr>
                <w:rFonts w:ascii="Times New Roman" w:hAnsi="Times New Roman"/>
                <w:color w:val="000000"/>
                <w:sz w:val="21"/>
              </w:rPr>
              <w:t>Database Analysis</w:t>
            </w:r>
          </w:p>
        </w:tc>
        <w:tc>
          <w:tcPr>
            <w:tcW w:type="dxa" w:w="5040"/>
            <w:vAlign w:val="center"/>
          </w:tcPr>
          <w:p>
            <w:r>
              <w:rPr>
                <w:rFonts w:ascii="Times New Roman" w:hAnsi="Times New Roman"/>
                <w:color w:val="000000"/>
                <w:sz w:val="21"/>
              </w:rPr>
              <w:t>MySQL, SQL</w:t>
            </w:r>
          </w:p>
        </w:tc>
      </w:tr>
      <w:tr>
        <w:tc>
          <w:tcPr>
            <w:tcW w:type="dxa" w:w="5040"/>
            <w:vAlign w:val="center"/>
          </w:tcPr>
          <w:p>
            <w:r>
              <w:rPr>
                <w:rFonts w:ascii="Times New Roman" w:hAnsi="Times New Roman"/>
                <w:color w:val="000000"/>
                <w:sz w:val="21"/>
              </w:rPr>
              <w:t>Python–Database Connectivity</w:t>
            </w:r>
          </w:p>
        </w:tc>
        <w:tc>
          <w:tcPr>
            <w:tcW w:type="dxa" w:w="5040"/>
            <w:vAlign w:val="center"/>
          </w:tcPr>
          <w:p>
            <w:r>
              <w:rPr>
                <w:rFonts w:ascii="Times New Roman" w:hAnsi="Times New Roman"/>
                <w:color w:val="000000"/>
                <w:sz w:val="21"/>
              </w:rPr>
              <w:t>mysql.connector</w:t>
            </w:r>
          </w:p>
        </w:tc>
      </w:tr>
      <w:tr>
        <w:tc>
          <w:tcPr>
            <w:tcW w:type="dxa" w:w="5040"/>
            <w:vAlign w:val="center"/>
          </w:tcPr>
          <w:p>
            <w:r>
              <w:rPr>
                <w:rFonts w:ascii="Times New Roman" w:hAnsi="Times New Roman"/>
                <w:color w:val="000000"/>
                <w:sz w:val="21"/>
              </w:rPr>
              <w:t>Visualization</w:t>
            </w:r>
          </w:p>
        </w:tc>
        <w:tc>
          <w:tcPr>
            <w:tcW w:type="dxa" w:w="5040"/>
            <w:vAlign w:val="center"/>
          </w:tcPr>
          <w:p>
            <w:r>
              <w:rPr>
                <w:rFonts w:ascii="Times New Roman" w:hAnsi="Times New Roman"/>
                <w:color w:val="000000"/>
                <w:sz w:val="21"/>
              </w:rPr>
              <w:t>Matplotlib, Seaborn</w:t>
            </w:r>
          </w:p>
        </w:tc>
      </w:tr>
      <w:tr>
        <w:tc>
          <w:tcPr>
            <w:tcW w:type="dxa" w:w="5040"/>
            <w:vAlign w:val="center"/>
          </w:tcPr>
          <w:p>
            <w:r>
              <w:rPr>
                <w:rFonts w:ascii="Times New Roman" w:hAnsi="Times New Roman"/>
                <w:color w:val="000000"/>
                <w:sz w:val="21"/>
              </w:rPr>
              <w:t>Dashboard Reporting</w:t>
            </w:r>
          </w:p>
        </w:tc>
        <w:tc>
          <w:tcPr>
            <w:tcW w:type="dxa" w:w="5040"/>
            <w:vAlign w:val="center"/>
          </w:tcPr>
          <w:p>
            <w:r>
              <w:rPr>
                <w:rFonts w:ascii="Times New Roman" w:hAnsi="Times New Roman"/>
                <w:color w:val="000000"/>
                <w:sz w:val="21"/>
              </w:rPr>
              <w:t>Power BI</w:t>
            </w:r>
          </w:p>
        </w:tc>
      </w:tr>
      <w:tr>
        <w:tc>
          <w:tcPr>
            <w:tcW w:type="dxa" w:w="5040"/>
            <w:vAlign w:val="center"/>
          </w:tcPr>
          <w:p>
            <w:r>
              <w:rPr>
                <w:rFonts w:ascii="Times New Roman" w:hAnsi="Times New Roman"/>
                <w:color w:val="000000"/>
                <w:sz w:val="21"/>
              </w:rPr>
              <w:t>Business Insights</w:t>
            </w:r>
          </w:p>
        </w:tc>
        <w:tc>
          <w:tcPr>
            <w:tcW w:type="dxa" w:w="5040"/>
            <w:vAlign w:val="center"/>
          </w:tcPr>
          <w:p>
            <w:r>
              <w:rPr>
                <w:rFonts w:ascii="Times New Roman" w:hAnsi="Times New Roman"/>
                <w:color w:val="000000"/>
                <w:sz w:val="21"/>
              </w:rPr>
              <w:t>Investment, savings, ROI, automation and productivity analysis</w:t>
            </w:r>
          </w:p>
        </w:tc>
      </w:tr>
    </w:tbl>
    <w:p>
      <w:pPr>
        <w:jc w:val="both"/>
      </w:pP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