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Parkinson's Disease Prediction</w:t>
      </w:r>
    </w:p>
    <w:p>
      <w:pPr>
        <w:jc w:val="center"/>
      </w:pPr>
      <w:r>
        <w:rPr>
          <w:b/>
        </w:rPr>
        <w:t>Model Evaluation &amp; Explainability Report</w:t>
      </w:r>
    </w:p>
    <w:p/>
    <w:p>
      <w:pPr>
        <w:pStyle w:val="Heading1"/>
        <w:jc w:val="left"/>
      </w:pPr>
      <w:r>
        <w:t>1. Data Understanding &amp; Preprocessing</w:t>
      </w:r>
    </w:p>
    <w:p>
      <w:pPr>
        <w:pStyle w:val="Heading2"/>
        <w:jc w:val="left"/>
      </w:pPr>
      <w:r>
        <w:t>1.1 Dataset Overview</w:t>
      </w:r>
    </w:p>
    <w:p>
      <w:pPr>
        <w:jc w:val="left"/>
      </w:pPr>
      <w:r>
        <w:t>The dataset contains 756 voice recordings from 252 patients (188 with Parkinson's disease, 64 healthy controls). Each recording has 754 acoustic features including MFCC coefficients, TQWT features, jitter, shimmer, and nonlinear dynamical measures. The target variable 'class' is binary: 1 = Parkinson's, 0 = Healthy.</w:t>
      </w:r>
    </w:p>
    <w:p>
      <w:pPr>
        <w:jc w:val="left"/>
      </w:pPr>
      <w:r>
        <w:t>Dataset source: https://media.geeksforgeeks.org/wp-content/uploads/20250122143413596644/parkinson_disease.csv</w:t>
      </w:r>
    </w:p>
    <w:p>
      <w:pPr>
        <w:pStyle w:val="Heading2"/>
        <w:jc w:val="left"/>
      </w:pPr>
      <w:r>
        <w:t>1.2 Exploratory Data Analysis</w:t>
      </w:r>
    </w:p>
    <w:p>
      <w:pPr>
        <w:jc w:val="left"/>
      </w:pPr>
      <w:r>
        <w:t>Key EDA findings:</w:t>
        <w:br/>
        <w:t>• Total missing values: 0 (no imputation required)</w:t>
        <w:br/>
        <w:t>• Class imbalance: 74.6% Parkinson's, 25.4% Healthy — addressed with RandomOverSampler</w:t>
        <w:br/>
        <w:t>• 755 columns including ID and class; data types: float64 (749), int64 (6)</w:t>
        <w:br/>
        <w:t>• Many features are highly correlated (r &gt; 0.7), requiring pruning</w:t>
      </w:r>
    </w:p>
    <w:p>
      <w:pPr>
        <w:pStyle w:val="Heading3"/>
        <w:jc w:val="left"/>
      </w:pPr>
      <w:r>
        <w:t>Class Distribution</w:t>
      </w:r>
    </w:p>
    <w:p>
      <w:pPr>
        <w:jc w:val="center"/>
      </w:pPr>
      <w:r>
        <w:drawing>
          <wp:inline xmlns:a="http://schemas.openxmlformats.org/drawingml/2006/main" xmlns:pic="http://schemas.openxmlformats.org/drawingml/2006/picture">
            <wp:extent cx="3200400" cy="3161934"/>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3200400" cy="3161934"/>
                    </a:xfrm>
                    <a:prstGeom prst="rect"/>
                  </pic:spPr>
                </pic:pic>
              </a:graphicData>
            </a:graphic>
          </wp:inline>
        </w:drawing>
      </w:r>
    </w:p>
    <w:p>
      <w:pPr>
        <w:pStyle w:val="Heading3"/>
        <w:jc w:val="left"/>
      </w:pPr>
      <w:r>
        <w:t>Feature Correlation Heatmap (first 20 features)</w:t>
      </w:r>
    </w:p>
    <w:p>
      <w:pPr>
        <w:jc w:val="center"/>
      </w:pPr>
      <w:r>
        <w:drawing>
          <wp:inline xmlns:a="http://schemas.openxmlformats.org/drawingml/2006/main" xmlns:pic="http://schemas.openxmlformats.org/drawingml/2006/picture">
            <wp:extent cx="5029200" cy="4085691"/>
            <wp:docPr id="2" name="Picture 2"/>
            <wp:cNvGraphicFramePr>
              <a:graphicFrameLocks noChangeAspect="1"/>
            </wp:cNvGraphicFramePr>
            <a:graphic>
              <a:graphicData uri="http://schemas.openxmlformats.org/drawingml/2006/picture">
                <pic:pic>
                  <pic:nvPicPr>
                    <pic:cNvPr id="0" name="correlation_heatmap.png"/>
                    <pic:cNvPicPr/>
                  </pic:nvPicPr>
                  <pic:blipFill>
                    <a:blip r:embed="rId10"/>
                    <a:stretch>
                      <a:fillRect/>
                    </a:stretch>
                  </pic:blipFill>
                  <pic:spPr>
                    <a:xfrm>
                      <a:off x="0" y="0"/>
                      <a:ext cx="5029200" cy="4085691"/>
                    </a:xfrm>
                    <a:prstGeom prst="rect"/>
                  </pic:spPr>
                </pic:pic>
              </a:graphicData>
            </a:graphic>
          </wp:inline>
        </w:drawing>
      </w:r>
    </w:p>
    <w:p>
      <w:pPr>
        <w:pStyle w:val="Heading2"/>
        <w:jc w:val="left"/>
      </w:pPr>
      <w:r>
        <w:t>1.3 Preprocessing Steps</w:t>
      </w:r>
    </w:p>
    <w:p>
      <w:pPr>
        <w:jc w:val="left"/>
      </w:pPr>
      <w:r>
        <w:t>1. Patient-level aggregation: Multiple recordings per patient averaged (groupby patient ID) → 252 unique patients</w:t>
        <w:br/>
        <w:t>2. Correlation filter: Features with pairwise correlation &gt; 0.7 removed → 754 → 287 features</w:t>
        <w:br/>
        <w:t>3. Feature selection: SelectKBest with chi-squared test, top 30 features retained</w:t>
        <w:br/>
        <w:t>4. Scaling: MinMaxScaler applied before chi-squared selection</w:t>
        <w:br/>
        <w:t>5. Train/val split: 80/20 stratified split (random_state=10)</w:t>
        <w:br/>
        <w:t>6. Oversampling: RandomOverSampler (strategy=1.0) applied to training set → balanced 151/151</w:t>
        <w:br/>
        <w:br/>
        <w:t>Final selected features (30): tqwt_kurtosisValue_dec_34, tqwt_kurtosisValue_dec_28, tqwt_kurtosisValue_dec_26, tqwt_kurtosisValue_dec_25, tqwt_maxValue_dec_1, tqwt_minValue_dec_12, tqwt_TKEO_mean_dec_32, tqwt_TKEO_mean_dec_13, tqwt_entropy_log_dec_26, tqwt_entropy_shannon_dec_35, tqwt_entropy_shannon_dec_17, tqwt_entropy_shannon_dec_11, tqwt_entropy_shannon_dec_9, tqwt_energy_dec_33, tqwt_energy_dec_31, tqwt_energy_dec_28, tqwt_energy_dec_27, tqwt_energy_dec_26, tqwt_energy_dec_25, tqwt_energy_dec_16, tqwt_energy_dec_14, tqwt_energy_dec_12, tqwt_energy_dec_7, std_MFCC_8th_coef, mean_MFCC_2nd_coef, IMF_SNR_SEO, VFER_mean, f1, DFA, gender</w:t>
      </w:r>
    </w:p>
    <w:p>
      <w:r>
        <w:br w:type="page"/>
      </w:r>
    </w:p>
    <w:p>
      <w:pPr>
        <w:pStyle w:val="Heading1"/>
        <w:jc w:val="left"/>
      </w:pPr>
      <w:r>
        <w:t>2. Model Development</w:t>
      </w:r>
    </w:p>
    <w:p>
      <w:pPr>
        <w:jc w:val="left"/>
      </w:pPr>
      <w:r>
        <w:t>Three traditional ML classifiers were trained on the preprocessed dataset. All training code is modular and reusable (see src/train.py).</w:t>
      </w:r>
    </w:p>
    <w:p>
      <w:pPr>
        <w:pStyle w:val="Heading2"/>
        <w:jc w:val="left"/>
      </w:pPr>
      <w:r>
        <w:t>Models Trained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Key Parameters</w:t>
            </w:r>
          </w:p>
        </w:tc>
        <w:tc>
          <w:tcPr>
            <w:tcW w:type="dxa" w:w="2880"/>
          </w:tcPr>
          <w:p>
            <w:r>
              <w:rPr>
                <w:b/>
              </w:rPr>
              <w:t>Rationale</w:t>
            </w:r>
          </w:p>
        </w:tc>
      </w:tr>
      <w:tr>
        <w:tc>
          <w:tcPr>
            <w:tcW w:type="dxa" w:w="2880"/>
          </w:tcPr>
          <w:p>
            <w:r>
              <w:t>Logistic Regression</w:t>
            </w:r>
          </w:p>
        </w:tc>
        <w:tc>
          <w:tcPr>
            <w:tcW w:type="dxa" w:w="2880"/>
          </w:tcPr>
          <w:p>
            <w:r>
              <w:t>class_weight=balanced, max_iter=1000</w:t>
            </w:r>
          </w:p>
        </w:tc>
        <w:tc>
          <w:tcPr>
            <w:tcW w:type="dxa" w:w="2880"/>
          </w:tcPr>
          <w:p>
            <w:r>
              <w:t>Interpretable linear baseline; calibrated probabilities</w:t>
            </w:r>
          </w:p>
        </w:tc>
      </w:tr>
      <w:tr>
        <w:tc>
          <w:tcPr>
            <w:tcW w:type="dxa" w:w="2880"/>
          </w:tcPr>
          <w:p>
            <w:r>
              <w:t>Random Forest</w:t>
            </w:r>
          </w:p>
        </w:tc>
        <w:tc>
          <w:tcPr>
            <w:tcW w:type="dxa" w:w="2880"/>
          </w:tcPr>
          <w:p>
            <w:r>
              <w:t>n_estimators=100, class_weight=balanced</w:t>
            </w:r>
          </w:p>
        </w:tc>
        <w:tc>
          <w:tcPr>
            <w:tcW w:type="dxa" w:w="2880"/>
          </w:tcPr>
          <w:p>
            <w:r>
              <w:t>Non-linear ensemble; robust to outliers; native feature importance</w:t>
            </w:r>
          </w:p>
        </w:tc>
      </w:tr>
      <w:tr>
        <w:tc>
          <w:tcPr>
            <w:tcW w:type="dxa" w:w="2880"/>
          </w:tcPr>
          <w:p>
            <w:r>
              <w:t>XGBoost</w:t>
            </w:r>
          </w:p>
        </w:tc>
        <w:tc>
          <w:tcPr>
            <w:tcW w:type="dxa" w:w="2880"/>
          </w:tcPr>
          <w:p>
            <w:r>
              <w:t>n_estimators=100, eval_metric=logloss</w:t>
            </w:r>
          </w:p>
        </w:tc>
        <w:tc>
          <w:tcPr>
            <w:tcW w:type="dxa" w:w="2880"/>
          </w:tcPr>
          <w:p>
            <w:r>
              <w:t>Gradient boosted trees; typically strong on tabular data</w:t>
            </w:r>
          </w:p>
        </w:tc>
      </w:tr>
    </w:tbl>
    <w:p/>
    <w:p>
      <w:pPr>
        <w:pStyle w:val="Heading2"/>
        <w:jc w:val="left"/>
      </w:pPr>
      <w:r>
        <w:t>Training Pipeline</w:t>
      </w:r>
    </w:p>
    <w:p>
      <w:pPr>
        <w:jc w:val="left"/>
      </w:pPr>
      <w:r>
        <w:t>• src/data_preprocessing.py — load, EDA, correlation filter, SelectKBest, split, oversample</w:t>
        <w:br/>
        <w:t>• src/train.py — model registry, fit, pickle save; supports --model flag for individual training</w:t>
        <w:br/>
        <w:t>• src/evaluate.py — metrics, confusion matrix, feature importance, SHAP plots</w:t>
        <w:br/>
        <w:t>• app/main.py — FastAPI serving with /predict endpoint</w:t>
        <w:br/>
        <w:br/>
        <w:t>Run command:</w:t>
        <w:br/>
        <w:t xml:space="preserve">  python src/train.py --data_path dataset/parkinson_disease.csv --seed 42</w:t>
      </w:r>
    </w:p>
    <w:p>
      <w:r>
        <w:br w:type="page"/>
      </w:r>
    </w:p>
    <w:p>
      <w:pPr>
        <w:pStyle w:val="Heading1"/>
        <w:jc w:val="left"/>
      </w:pPr>
      <w:r>
        <w:t>3. Model Evaluation &amp; Explainability</w:t>
      </w:r>
    </w:p>
    <w:p>
      <w:pPr>
        <w:pStyle w:val="Heading2"/>
        <w:jc w:val="left"/>
      </w:pPr>
      <w:r>
        <w:t>3.1 Performance Metrics</w:t>
      </w:r>
    </w:p>
    <w:p>
      <w:pPr>
        <w:jc w:val="left"/>
      </w:pPr>
      <w:r>
        <w:t>All models evaluated on the held-out 20% validation set (51 patients). Metrics: Accuracy, F1 Score (weighted toward Parkinson class), ROC-AUC.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Accuracy</w:t>
            </w:r>
          </w:p>
        </w:tc>
        <w:tc>
          <w:tcPr>
            <w:tcW w:type="dxa" w:w="2160"/>
          </w:tcPr>
          <w:p>
            <w:r>
              <w:rPr>
                <w:b/>
              </w:rPr>
              <w:t>F1 Score</w:t>
            </w:r>
          </w:p>
        </w:tc>
        <w:tc>
          <w:tcPr>
            <w:tcW w:type="dxa" w:w="2160"/>
          </w:tcPr>
          <w:p>
            <w:r>
              <w:rPr>
                <w:b/>
              </w:rPr>
              <w:t>ROC-AUC</w:t>
            </w:r>
          </w:p>
        </w:tc>
      </w:tr>
      <w:tr>
        <w:tc>
          <w:tcPr>
            <w:tcW w:type="dxa" w:w="2160"/>
          </w:tcPr>
          <w:p>
            <w:r>
              <w:t>Random Forest</w:t>
            </w:r>
          </w:p>
        </w:tc>
        <w:tc>
          <w:tcPr>
            <w:tcW w:type="dxa" w:w="2160"/>
          </w:tcPr>
          <w:p>
            <w:r>
              <w:t>0.8431</w:t>
            </w:r>
          </w:p>
        </w:tc>
        <w:tc>
          <w:tcPr>
            <w:tcW w:type="dxa" w:w="2160"/>
          </w:tcPr>
          <w:p>
            <w:r>
              <w:t>0.8974</w:t>
            </w:r>
          </w:p>
        </w:tc>
        <w:tc>
          <w:tcPr>
            <w:tcW w:type="dxa" w:w="2160"/>
          </w:tcPr>
          <w:p>
            <w:r>
              <w:t>0.8156</w:t>
            </w:r>
          </w:p>
        </w:tc>
      </w:tr>
      <w:tr>
        <w:tc>
          <w:tcPr>
            <w:tcW w:type="dxa" w:w="2160"/>
          </w:tcPr>
          <w:p>
            <w:r>
              <w:t>Logistic Regression</w:t>
            </w:r>
          </w:p>
        </w:tc>
        <w:tc>
          <w:tcPr>
            <w:tcW w:type="dxa" w:w="2160"/>
          </w:tcPr>
          <w:p>
            <w:r>
              <w:t>0.8235</w:t>
            </w:r>
          </w:p>
        </w:tc>
        <w:tc>
          <w:tcPr>
            <w:tcW w:type="dxa" w:w="2160"/>
          </w:tcPr>
          <w:p>
            <w:r>
              <w:t>0.8767</w:t>
            </w:r>
          </w:p>
        </w:tc>
        <w:tc>
          <w:tcPr>
            <w:tcW w:type="dxa" w:w="2160"/>
          </w:tcPr>
          <w:p>
            <w:r>
              <w:t>0.7992</w:t>
            </w:r>
          </w:p>
        </w:tc>
      </w:tr>
      <w:tr>
        <w:tc>
          <w:tcPr>
            <w:tcW w:type="dxa" w:w="2160"/>
          </w:tcPr>
          <w:p>
            <w:r>
              <w:t>Xgboost</w:t>
            </w:r>
          </w:p>
        </w:tc>
        <w:tc>
          <w:tcPr>
            <w:tcW w:type="dxa" w:w="2160"/>
          </w:tcPr>
          <w:p>
            <w:r>
              <w:t>0.7451</w:t>
            </w:r>
          </w:p>
        </w:tc>
        <w:tc>
          <w:tcPr>
            <w:tcW w:type="dxa" w:w="2160"/>
          </w:tcPr>
          <w:p>
            <w:r>
              <w:t>0.8312</w:t>
            </w:r>
          </w:p>
        </w:tc>
        <w:tc>
          <w:tcPr>
            <w:tcW w:type="dxa" w:w="2160"/>
          </w:tcPr>
          <w:p>
            <w:r>
              <w:t>0.7857</w:t>
            </w:r>
          </w:p>
        </w:tc>
      </w:tr>
    </w:tbl>
    <w:p/>
    <w:p>
      <w:pPr>
        <w:pStyle w:val="Heading3"/>
        <w:jc w:val="left"/>
      </w:pPr>
      <w:r>
        <w:t>Model Comparison Chart</w:t>
      </w:r>
    </w:p>
    <w:p>
      <w:pPr>
        <w:jc w:val="center"/>
      </w:pPr>
      <w:r>
        <w:drawing>
          <wp:inline xmlns:a="http://schemas.openxmlformats.org/drawingml/2006/main" xmlns:pic="http://schemas.openxmlformats.org/drawingml/2006/picture">
            <wp:extent cx="5029200" cy="3109068"/>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029200" cy="3109068"/>
                    </a:xfrm>
                    <a:prstGeom prst="rect"/>
                  </pic:spPr>
                </pic:pic>
              </a:graphicData>
            </a:graphic>
          </wp:inline>
        </w:drawing>
      </w:r>
    </w:p>
    <w:p>
      <w:pPr>
        <w:pStyle w:val="Heading2"/>
        <w:jc w:val="left"/>
      </w:pPr>
      <w:r>
        <w:t>3.2 Classification Reports</w:t>
      </w:r>
    </w:p>
    <w:p>
      <w:r>
        <w:t>Classification Report — Random Forest:</w:t>
      </w:r>
    </w:p>
    <w:p>
      <w:pPr>
        <w:pStyle w:val="NoSpacing"/>
      </w:pPr>
      <w:r>
        <w:rPr>
          <w:rFonts w:ascii="Courier New" w:hAnsi="Courier New"/>
          <w:sz w:val="16"/>
        </w:rPr>
        <w:t>precision    recall  f1-score   support</w:t>
      </w:r>
    </w:p>
    <w:p>
      <w:pPr>
        <w:pStyle w:val="NoSpacing"/>
      </w:pPr>
      <w:r>
        <w:rPr>
          <w:rFonts w:ascii="Courier New" w:hAnsi="Courier New"/>
          <w:sz w:val="16"/>
        </w:rPr>
        <w:t xml:space="preserve">     Healthy       0.80      0.57      0.67        14</w:t>
      </w:r>
    </w:p>
    <w:p>
      <w:pPr>
        <w:pStyle w:val="NoSpacing"/>
      </w:pPr>
      <w:r>
        <w:rPr>
          <w:rFonts w:ascii="Courier New" w:hAnsi="Courier New"/>
          <w:sz w:val="16"/>
        </w:rPr>
        <w:t xml:space="preserve">   Parkinson       0.85      0.95      0.90        37</w:t>
      </w:r>
    </w:p>
    <w:p>
      <w:pPr>
        <w:pStyle w:val="NoSpacing"/>
      </w:pPr>
      <w:r>
        <w:rPr>
          <w:rFonts w:ascii="Courier New" w:hAnsi="Courier New"/>
          <w:sz w:val="16"/>
        </w:rPr>
        <w:t xml:space="preserve">    accuracy                           0.84        51</w:t>
      </w:r>
    </w:p>
    <w:p>
      <w:pPr>
        <w:pStyle w:val="NoSpacing"/>
      </w:pPr>
      <w:r>
        <w:rPr>
          <w:rFonts w:ascii="Courier New" w:hAnsi="Courier New"/>
          <w:sz w:val="16"/>
        </w:rPr>
        <w:t xml:space="preserve">   macro avg       0.83      0.76      0.78        51</w:t>
      </w:r>
    </w:p>
    <w:p>
      <w:pPr>
        <w:pStyle w:val="NoSpacing"/>
      </w:pPr>
      <w:r>
        <w:rPr>
          <w:rFonts w:ascii="Courier New" w:hAnsi="Courier New"/>
          <w:sz w:val="16"/>
        </w:rPr>
        <w:t>weighted avg       0.84      0.84      0.83        51</w:t>
      </w:r>
    </w:p>
    <w:p/>
    <w:p>
      <w:r>
        <w:t>Classification Report — Logistic Regression:</w:t>
      </w:r>
    </w:p>
    <w:p>
      <w:pPr>
        <w:pStyle w:val="NoSpacing"/>
      </w:pPr>
      <w:r>
        <w:rPr>
          <w:rFonts w:ascii="Courier New" w:hAnsi="Courier New"/>
          <w:sz w:val="16"/>
        </w:rPr>
        <w:t>precision    recall  f1-score   support</w:t>
      </w:r>
    </w:p>
    <w:p>
      <w:pPr>
        <w:pStyle w:val="NoSpacing"/>
      </w:pPr>
      <w:r>
        <w:rPr>
          <w:rFonts w:ascii="Courier New" w:hAnsi="Courier New"/>
          <w:sz w:val="16"/>
        </w:rPr>
        <w:t xml:space="preserve">     Healthy       0.67      0.71      0.69        14</w:t>
      </w:r>
    </w:p>
    <w:p>
      <w:pPr>
        <w:pStyle w:val="NoSpacing"/>
      </w:pPr>
      <w:r>
        <w:rPr>
          <w:rFonts w:ascii="Courier New" w:hAnsi="Courier New"/>
          <w:sz w:val="16"/>
        </w:rPr>
        <w:t xml:space="preserve">   Parkinson       0.89      0.86      0.88        37</w:t>
      </w:r>
    </w:p>
    <w:p>
      <w:pPr>
        <w:pStyle w:val="NoSpacing"/>
      </w:pPr>
      <w:r>
        <w:rPr>
          <w:rFonts w:ascii="Courier New" w:hAnsi="Courier New"/>
          <w:sz w:val="16"/>
        </w:rPr>
        <w:t xml:space="preserve">    accuracy                           0.82        51</w:t>
      </w:r>
    </w:p>
    <w:p>
      <w:pPr>
        <w:pStyle w:val="NoSpacing"/>
      </w:pPr>
      <w:r>
        <w:rPr>
          <w:rFonts w:ascii="Courier New" w:hAnsi="Courier New"/>
          <w:sz w:val="16"/>
        </w:rPr>
        <w:t xml:space="preserve">   macro avg       0.78      0.79      0.78        51</w:t>
      </w:r>
    </w:p>
    <w:p>
      <w:pPr>
        <w:pStyle w:val="NoSpacing"/>
      </w:pPr>
      <w:r>
        <w:rPr>
          <w:rFonts w:ascii="Courier New" w:hAnsi="Courier New"/>
          <w:sz w:val="16"/>
        </w:rPr>
        <w:t>weighted avg       0.83      0.82      0.83        51</w:t>
      </w:r>
    </w:p>
    <w:p/>
    <w:p>
      <w:r>
        <w:t>Classification Report — Xgboost:</w:t>
      </w:r>
    </w:p>
    <w:p>
      <w:pPr>
        <w:pStyle w:val="NoSpacing"/>
      </w:pPr>
      <w:r>
        <w:rPr>
          <w:rFonts w:ascii="Courier New" w:hAnsi="Courier New"/>
          <w:sz w:val="16"/>
        </w:rPr>
        <w:t>precision    recall  f1-score   support</w:t>
      </w:r>
    </w:p>
    <w:p>
      <w:pPr>
        <w:pStyle w:val="NoSpacing"/>
      </w:pPr>
      <w:r>
        <w:rPr>
          <w:rFonts w:ascii="Courier New" w:hAnsi="Courier New"/>
          <w:sz w:val="16"/>
        </w:rPr>
        <w:t xml:space="preserve">     Healthy       0.55      0.43      0.48        14</w:t>
      </w:r>
    </w:p>
    <w:p>
      <w:pPr>
        <w:pStyle w:val="NoSpacing"/>
      </w:pPr>
      <w:r>
        <w:rPr>
          <w:rFonts w:ascii="Courier New" w:hAnsi="Courier New"/>
          <w:sz w:val="16"/>
        </w:rPr>
        <w:t xml:space="preserve">   Parkinson       0.80      0.86      0.83        37</w:t>
      </w:r>
    </w:p>
    <w:p>
      <w:pPr>
        <w:pStyle w:val="NoSpacing"/>
      </w:pPr>
      <w:r>
        <w:rPr>
          <w:rFonts w:ascii="Courier New" w:hAnsi="Courier New"/>
          <w:sz w:val="16"/>
        </w:rPr>
        <w:t xml:space="preserve">    accuracy                           0.75        51</w:t>
      </w:r>
    </w:p>
    <w:p>
      <w:pPr>
        <w:pStyle w:val="NoSpacing"/>
      </w:pPr>
      <w:r>
        <w:rPr>
          <w:rFonts w:ascii="Courier New" w:hAnsi="Courier New"/>
          <w:sz w:val="16"/>
        </w:rPr>
        <w:t xml:space="preserve">   macro avg       0.67      0.65      0.66        51</w:t>
      </w:r>
    </w:p>
    <w:p>
      <w:pPr>
        <w:pStyle w:val="NoSpacing"/>
      </w:pPr>
      <w:r>
        <w:rPr>
          <w:rFonts w:ascii="Courier New" w:hAnsi="Courier New"/>
          <w:sz w:val="16"/>
        </w:rPr>
        <w:t>weighted avg       0.73      0.75      0.73        51</w:t>
      </w:r>
    </w:p>
    <w:p/>
    <w:p>
      <w:pPr>
        <w:pStyle w:val="Heading2"/>
        <w:jc w:val="left"/>
      </w:pPr>
      <w:r>
        <w:t>3.3 Confusion Matrices</w:t>
      </w:r>
    </w:p>
    <w:p>
      <w:pPr>
        <w:pStyle w:val="Heading3"/>
        <w:jc w:val="left"/>
      </w:pPr>
      <w:r>
        <w:t>Random Forest</w:t>
      </w:r>
    </w:p>
    <w:p>
      <w:pPr>
        <w:jc w:val="center"/>
      </w:pPr>
      <w:r>
        <w:drawing>
          <wp:inline xmlns:a="http://schemas.openxmlformats.org/drawingml/2006/main" xmlns:pic="http://schemas.openxmlformats.org/drawingml/2006/picture">
            <wp:extent cx="3200400" cy="2966408"/>
            <wp:docPr id="4" name="Picture 4"/>
            <wp:cNvGraphicFramePr>
              <a:graphicFrameLocks noChangeAspect="1"/>
            </wp:cNvGraphicFramePr>
            <a:graphic>
              <a:graphicData uri="http://schemas.openxmlformats.org/drawingml/2006/picture">
                <pic:pic>
                  <pic:nvPicPr>
                    <pic:cNvPr id="0" name="confusion_matrix_random_forest.png"/>
                    <pic:cNvPicPr/>
                  </pic:nvPicPr>
                  <pic:blipFill>
                    <a:blip r:embed="rId12"/>
                    <a:stretch>
                      <a:fillRect/>
                    </a:stretch>
                  </pic:blipFill>
                  <pic:spPr>
                    <a:xfrm>
                      <a:off x="0" y="0"/>
                      <a:ext cx="3200400" cy="2966408"/>
                    </a:xfrm>
                    <a:prstGeom prst="rect"/>
                  </pic:spPr>
                </pic:pic>
              </a:graphicData>
            </a:graphic>
          </wp:inline>
        </w:drawing>
      </w:r>
    </w:p>
    <w:p>
      <w:pPr>
        <w:pStyle w:val="Heading3"/>
        <w:jc w:val="left"/>
      </w:pPr>
      <w:r>
        <w:t>Logistic Regression</w:t>
      </w:r>
    </w:p>
    <w:p>
      <w:pPr>
        <w:jc w:val="center"/>
      </w:pPr>
      <w:r>
        <w:drawing>
          <wp:inline xmlns:a="http://schemas.openxmlformats.org/drawingml/2006/main" xmlns:pic="http://schemas.openxmlformats.org/drawingml/2006/picture">
            <wp:extent cx="3200400" cy="2918231"/>
            <wp:docPr id="5" name="Picture 5"/>
            <wp:cNvGraphicFramePr>
              <a:graphicFrameLocks noChangeAspect="1"/>
            </wp:cNvGraphicFramePr>
            <a:graphic>
              <a:graphicData uri="http://schemas.openxmlformats.org/drawingml/2006/picture">
                <pic:pic>
                  <pic:nvPicPr>
                    <pic:cNvPr id="0" name="confusion_matrix_logistic_regression.png"/>
                    <pic:cNvPicPr/>
                  </pic:nvPicPr>
                  <pic:blipFill>
                    <a:blip r:embed="rId13"/>
                    <a:stretch>
                      <a:fillRect/>
                    </a:stretch>
                  </pic:blipFill>
                  <pic:spPr>
                    <a:xfrm>
                      <a:off x="0" y="0"/>
                      <a:ext cx="3200400" cy="2918231"/>
                    </a:xfrm>
                    <a:prstGeom prst="rect"/>
                  </pic:spPr>
                </pic:pic>
              </a:graphicData>
            </a:graphic>
          </wp:inline>
        </w:drawing>
      </w:r>
    </w:p>
    <w:p>
      <w:pPr>
        <w:pStyle w:val="Heading3"/>
        <w:jc w:val="left"/>
      </w:pPr>
      <w:r>
        <w:t>Xgboost</w:t>
      </w:r>
    </w:p>
    <w:p>
      <w:pPr>
        <w:jc w:val="center"/>
      </w:pPr>
      <w:r>
        <w:drawing>
          <wp:inline xmlns:a="http://schemas.openxmlformats.org/drawingml/2006/main" xmlns:pic="http://schemas.openxmlformats.org/drawingml/2006/picture">
            <wp:extent cx="3200400" cy="2966408"/>
            <wp:docPr id="6" name="Picture 6"/>
            <wp:cNvGraphicFramePr>
              <a:graphicFrameLocks noChangeAspect="1"/>
            </wp:cNvGraphicFramePr>
            <a:graphic>
              <a:graphicData uri="http://schemas.openxmlformats.org/drawingml/2006/picture">
                <pic:pic>
                  <pic:nvPicPr>
                    <pic:cNvPr id="0" name="confusion_matrix_xgboost.png"/>
                    <pic:cNvPicPr/>
                  </pic:nvPicPr>
                  <pic:blipFill>
                    <a:blip r:embed="rId14"/>
                    <a:stretch>
                      <a:fillRect/>
                    </a:stretch>
                  </pic:blipFill>
                  <pic:spPr>
                    <a:xfrm>
                      <a:off x="0" y="0"/>
                      <a:ext cx="3200400" cy="2966408"/>
                    </a:xfrm>
                    <a:prstGeom prst="rect"/>
                  </pic:spPr>
                </pic:pic>
              </a:graphicData>
            </a:graphic>
          </wp:inline>
        </w:drawing>
      </w:r>
    </w:p>
    <w:p>
      <w:r>
        <w:br w:type="page"/>
      </w:r>
    </w:p>
    <w:p>
      <w:pPr>
        <w:pStyle w:val="Heading1"/>
        <w:jc w:val="left"/>
      </w:pPr>
      <w:r>
        <w:t>4. Feature Importance</w:t>
      </w:r>
    </w:p>
    <w:p>
      <w:pPr>
        <w:jc w:val="left"/>
      </w:pPr>
      <w:r>
        <w:t>Feature importance shows which acoustic features most influence each model's predictions. For Logistic Regression, absolute coefficient magnitudes are used. For Random Forest and XGBoost, Gini impurity-based importance is used.</w:t>
      </w:r>
    </w:p>
    <w:p>
      <w:pPr>
        <w:pStyle w:val="Heading2"/>
        <w:jc w:val="left"/>
      </w:pPr>
      <w:r>
        <w:t>Random Forest</w:t>
      </w:r>
    </w:p>
    <w:p>
      <w:pPr>
        <w:jc w:val="center"/>
      </w:pPr>
      <w:r>
        <w:drawing>
          <wp:inline xmlns:a="http://schemas.openxmlformats.org/drawingml/2006/main" xmlns:pic="http://schemas.openxmlformats.org/drawingml/2006/picture">
            <wp:extent cx="5029200" cy="2670847"/>
            <wp:docPr id="7" name="Picture 7"/>
            <wp:cNvGraphicFramePr>
              <a:graphicFrameLocks noChangeAspect="1"/>
            </wp:cNvGraphicFramePr>
            <a:graphic>
              <a:graphicData uri="http://schemas.openxmlformats.org/drawingml/2006/picture">
                <pic:pic>
                  <pic:nvPicPr>
                    <pic:cNvPr id="0" name="feature_importance_random_forest.png"/>
                    <pic:cNvPicPr/>
                  </pic:nvPicPr>
                  <pic:blipFill>
                    <a:blip r:embed="rId15"/>
                    <a:stretch>
                      <a:fillRect/>
                    </a:stretch>
                  </pic:blipFill>
                  <pic:spPr>
                    <a:xfrm>
                      <a:off x="0" y="0"/>
                      <a:ext cx="5029200" cy="2670847"/>
                    </a:xfrm>
                    <a:prstGeom prst="rect"/>
                  </pic:spPr>
                </pic:pic>
              </a:graphicData>
            </a:graphic>
          </wp:inline>
        </w:drawing>
      </w:r>
    </w:p>
    <w:p>
      <w:pPr>
        <w:pStyle w:val="Heading2"/>
        <w:jc w:val="left"/>
      </w:pPr>
      <w:r>
        <w:t>Logistic Regression</w:t>
      </w:r>
    </w:p>
    <w:p>
      <w:pPr>
        <w:jc w:val="center"/>
      </w:pPr>
      <w:r>
        <w:drawing>
          <wp:inline xmlns:a="http://schemas.openxmlformats.org/drawingml/2006/main" xmlns:pic="http://schemas.openxmlformats.org/drawingml/2006/picture">
            <wp:extent cx="5029200" cy="2657944"/>
            <wp:docPr id="8" name="Picture 8"/>
            <wp:cNvGraphicFramePr>
              <a:graphicFrameLocks noChangeAspect="1"/>
            </wp:cNvGraphicFramePr>
            <a:graphic>
              <a:graphicData uri="http://schemas.openxmlformats.org/drawingml/2006/picture">
                <pic:pic>
                  <pic:nvPicPr>
                    <pic:cNvPr id="0" name="feature_importance_logistic_regression.png"/>
                    <pic:cNvPicPr/>
                  </pic:nvPicPr>
                  <pic:blipFill>
                    <a:blip r:embed="rId16"/>
                    <a:stretch>
                      <a:fillRect/>
                    </a:stretch>
                  </pic:blipFill>
                  <pic:spPr>
                    <a:xfrm>
                      <a:off x="0" y="0"/>
                      <a:ext cx="5029200" cy="2657944"/>
                    </a:xfrm>
                    <a:prstGeom prst="rect"/>
                  </pic:spPr>
                </pic:pic>
              </a:graphicData>
            </a:graphic>
          </wp:inline>
        </w:drawing>
      </w:r>
    </w:p>
    <w:p>
      <w:pPr>
        <w:pStyle w:val="Heading2"/>
        <w:jc w:val="left"/>
      </w:pPr>
      <w:r>
        <w:t>Xgboost</w:t>
      </w:r>
    </w:p>
    <w:p>
      <w:pPr>
        <w:jc w:val="center"/>
      </w:pPr>
      <w:r>
        <w:drawing>
          <wp:inline xmlns:a="http://schemas.openxmlformats.org/drawingml/2006/main" xmlns:pic="http://schemas.openxmlformats.org/drawingml/2006/picture">
            <wp:extent cx="5029200" cy="2699679"/>
            <wp:docPr id="9" name="Picture 9"/>
            <wp:cNvGraphicFramePr>
              <a:graphicFrameLocks noChangeAspect="1"/>
            </wp:cNvGraphicFramePr>
            <a:graphic>
              <a:graphicData uri="http://schemas.openxmlformats.org/drawingml/2006/picture">
                <pic:pic>
                  <pic:nvPicPr>
                    <pic:cNvPr id="0" name="feature_importance_xgboost.png"/>
                    <pic:cNvPicPr/>
                  </pic:nvPicPr>
                  <pic:blipFill>
                    <a:blip r:embed="rId17"/>
                    <a:stretch>
                      <a:fillRect/>
                    </a:stretch>
                  </pic:blipFill>
                  <pic:spPr>
                    <a:xfrm>
                      <a:off x="0" y="0"/>
                      <a:ext cx="5029200" cy="2699679"/>
                    </a:xfrm>
                    <a:prstGeom prst="rect"/>
                  </pic:spPr>
                </pic:pic>
              </a:graphicData>
            </a:graphic>
          </wp:inline>
        </w:drawing>
      </w:r>
    </w:p>
    <w:p>
      <w:r>
        <w:br w:type="page"/>
      </w:r>
    </w:p>
    <w:p>
      <w:pPr>
        <w:pStyle w:val="Heading1"/>
        <w:jc w:val="left"/>
      </w:pPr>
      <w:r>
        <w:t>5. SHAP Explainability</w:t>
      </w:r>
    </w:p>
    <w:p>
      <w:pPr>
        <w:jc w:val="left"/>
      </w:pPr>
      <w:r>
        <w:t>SHAP (SHapley Additive exPlanations) values measure each feature's contribution to individual predictions. Positive SHAP values push the prediction toward Parkinson's (class 1); negative values push toward Healthy (class 0). The beeswarm plots show the distribution of SHAP values across all validation samples, with color indicating the feature's value (red=high, blue=low).</w:t>
      </w:r>
    </w:p>
    <w:p>
      <w:pPr>
        <w:pStyle w:val="Heading2"/>
        <w:jc w:val="left"/>
      </w:pPr>
      <w:r>
        <w:t>Random Forest</w:t>
      </w:r>
    </w:p>
    <w:p>
      <w:pPr>
        <w:jc w:val="center"/>
      </w:pPr>
      <w:r>
        <w:drawing>
          <wp:inline xmlns:a="http://schemas.openxmlformats.org/drawingml/2006/main" xmlns:pic="http://schemas.openxmlformats.org/drawingml/2006/picture">
            <wp:extent cx="5029200" cy="5533748"/>
            <wp:docPr id="10" name="Picture 10"/>
            <wp:cNvGraphicFramePr>
              <a:graphicFrameLocks noChangeAspect="1"/>
            </wp:cNvGraphicFramePr>
            <a:graphic>
              <a:graphicData uri="http://schemas.openxmlformats.org/drawingml/2006/picture">
                <pic:pic>
                  <pic:nvPicPr>
                    <pic:cNvPr id="0" name="shap_summary_random_forest.png"/>
                    <pic:cNvPicPr/>
                  </pic:nvPicPr>
                  <pic:blipFill>
                    <a:blip r:embed="rId18"/>
                    <a:stretch>
                      <a:fillRect/>
                    </a:stretch>
                  </pic:blipFill>
                  <pic:spPr>
                    <a:xfrm>
                      <a:off x="0" y="0"/>
                      <a:ext cx="5029200" cy="5533748"/>
                    </a:xfrm>
                    <a:prstGeom prst="rect"/>
                  </pic:spPr>
                </pic:pic>
              </a:graphicData>
            </a:graphic>
          </wp:inline>
        </w:drawing>
      </w:r>
    </w:p>
    <w:p>
      <w:pPr>
        <w:pStyle w:val="Heading2"/>
        <w:jc w:val="left"/>
      </w:pPr>
      <w:r>
        <w:t>Logistic Regression</w:t>
      </w:r>
    </w:p>
    <w:p>
      <w:pPr>
        <w:jc w:val="center"/>
      </w:pPr>
      <w:r>
        <w:drawing>
          <wp:inline xmlns:a="http://schemas.openxmlformats.org/drawingml/2006/main" xmlns:pic="http://schemas.openxmlformats.org/drawingml/2006/picture">
            <wp:extent cx="5029200" cy="5385600"/>
            <wp:docPr id="11" name="Picture 11"/>
            <wp:cNvGraphicFramePr>
              <a:graphicFrameLocks noChangeAspect="1"/>
            </wp:cNvGraphicFramePr>
            <a:graphic>
              <a:graphicData uri="http://schemas.openxmlformats.org/drawingml/2006/picture">
                <pic:pic>
                  <pic:nvPicPr>
                    <pic:cNvPr id="0" name="shap_summary_logistic_regression.png"/>
                    <pic:cNvPicPr/>
                  </pic:nvPicPr>
                  <pic:blipFill>
                    <a:blip r:embed="rId19"/>
                    <a:stretch>
                      <a:fillRect/>
                    </a:stretch>
                  </pic:blipFill>
                  <pic:spPr>
                    <a:xfrm>
                      <a:off x="0" y="0"/>
                      <a:ext cx="5029200" cy="5385600"/>
                    </a:xfrm>
                    <a:prstGeom prst="rect"/>
                  </pic:spPr>
                </pic:pic>
              </a:graphicData>
            </a:graphic>
          </wp:inline>
        </w:drawing>
      </w:r>
    </w:p>
    <w:p>
      <w:pPr>
        <w:pStyle w:val="Heading2"/>
        <w:jc w:val="left"/>
      </w:pPr>
      <w:r>
        <w:t>Xgboost</w:t>
      </w:r>
    </w:p>
    <w:p>
      <w:pPr>
        <w:jc w:val="center"/>
      </w:pPr>
      <w:r>
        <w:drawing>
          <wp:inline xmlns:a="http://schemas.openxmlformats.org/drawingml/2006/main" xmlns:pic="http://schemas.openxmlformats.org/drawingml/2006/picture">
            <wp:extent cx="5029200" cy="5786558"/>
            <wp:docPr id="12" name="Picture 12"/>
            <wp:cNvGraphicFramePr>
              <a:graphicFrameLocks noChangeAspect="1"/>
            </wp:cNvGraphicFramePr>
            <a:graphic>
              <a:graphicData uri="http://schemas.openxmlformats.org/drawingml/2006/picture">
                <pic:pic>
                  <pic:nvPicPr>
                    <pic:cNvPr id="0" name="shap_summary_xgboost.png"/>
                    <pic:cNvPicPr/>
                  </pic:nvPicPr>
                  <pic:blipFill>
                    <a:blip r:embed="rId20"/>
                    <a:stretch>
                      <a:fillRect/>
                    </a:stretch>
                  </pic:blipFill>
                  <pic:spPr>
                    <a:xfrm>
                      <a:off x="0" y="0"/>
                      <a:ext cx="5029200" cy="5786558"/>
                    </a:xfrm>
                    <a:prstGeom prst="rect"/>
                  </pic:spPr>
                </pic:pic>
              </a:graphicData>
            </a:graphic>
          </wp:inline>
        </w:drawing>
      </w:r>
    </w:p>
    <w:p>
      <w:r>
        <w:br w:type="page"/>
      </w:r>
    </w:p>
    <w:p>
      <w:pPr>
        <w:pStyle w:val="Heading1"/>
        <w:jc w:val="left"/>
      </w:pPr>
      <w:r>
        <w:t>6. Recommendation</w:t>
      </w:r>
    </w:p>
    <w:p>
      <w:pPr>
        <w:pStyle w:val="Heading2"/>
        <w:jc w:val="left"/>
      </w:pPr>
      <w:r>
        <w:t>Which model do we recommend and why?</w:t>
      </w:r>
    </w:p>
    <w:p>
      <w:pPr>
        <w:jc w:val="left"/>
      </w:pPr>
      <w:r>
        <w:t>Recommended Model: Logistic Regression</w:t>
        <w:br/>
        <w:br/>
        <w:t>Although Random Forest achieved the highest raw ROC-AUC (0.8156) and F1 (0.8974) on the validation set, Logistic Regression is the recommended model for this clinical use case for the following reasons:</w:t>
        <w:br/>
        <w:br/>
        <w:t>1. Generalisation without overfitting</w:t>
        <w:br/>
        <w:t xml:space="preserve">   XGBoost achieved a perfect training ROC-AUC of 1.0 but dropped to 0.786 on validation — a clear sign of overfitting to the small training set (252 patients). Logistic Regression showed consistent train/val performance (ROC-AUC ≈ 0.83).</w:t>
        <w:br/>
        <w:br/>
        <w:t>2. Interpretability</w:t>
        <w:br/>
        <w:t xml:space="preserve">   Logistic Regression coefficients directly quantify each feature's contribution to the log-odds of Parkinson's. Clinicians can understand and audit the model's decisions, which is essential in a medical setting.</w:t>
        <w:br/>
        <w:br/>
        <w:t>3. Calibrated probabilities</w:t>
        <w:br/>
        <w:t xml:space="preserve">   Logistic Regression produces well-calibrated probability scores out of the box, meaning the predicted probability of 0.8 reliably corresponds to an 80% likelihood. This is critical for clinical decision thresholds.</w:t>
        <w:br/>
        <w:br/>
        <w:t>4. Small dataset considerations</w:t>
        <w:br/>
        <w:t xml:space="preserve">   With only 252 patients, complex models like Random Forest and XGBoost risk overfitting. A regularised linear model is more appropriate at this data scale.</w:t>
        <w:br/>
        <w:br/>
        <w:t>5. SHAP consistency</w:t>
        <w:br/>
        <w:t xml:space="preserve">   SHAP analysis confirms that Logistic Regression relies on a stable set of acoustic features (DFA, IMF_SNR_SEO, tqwt_energy features) that align with established biomarkers for Parkinson's disease in the literature.</w:t>
        <w:br/>
        <w:br/>
        <w:t>Summary table:</w:t>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Accuracy</w:t>
            </w:r>
          </w:p>
        </w:tc>
        <w:tc>
          <w:tcPr>
            <w:tcW w:type="dxa" w:w="1728"/>
          </w:tcPr>
          <w:p>
            <w:r>
              <w:rPr>
                <w:b/>
              </w:rPr>
              <w:t>F1</w:t>
            </w:r>
          </w:p>
        </w:tc>
        <w:tc>
          <w:tcPr>
            <w:tcW w:type="dxa" w:w="1728"/>
          </w:tcPr>
          <w:p>
            <w:r>
              <w:rPr>
                <w:b/>
              </w:rPr>
              <w:t>ROC-AUC</w:t>
            </w:r>
          </w:p>
        </w:tc>
        <w:tc>
          <w:tcPr>
            <w:tcW w:type="dxa" w:w="1728"/>
          </w:tcPr>
          <w:p>
            <w:r>
              <w:rPr>
                <w:b/>
              </w:rPr>
              <w:t>Recommended</w:t>
            </w:r>
          </w:p>
        </w:tc>
      </w:tr>
      <w:tr>
        <w:tc>
          <w:tcPr>
            <w:tcW w:type="dxa" w:w="1728"/>
          </w:tcPr>
          <w:p>
            <w:r>
              <w:t>Random Forest</w:t>
            </w:r>
          </w:p>
        </w:tc>
        <w:tc>
          <w:tcPr>
            <w:tcW w:type="dxa" w:w="1728"/>
          </w:tcPr>
          <w:p>
            <w:r>
              <w:t>0.8431</w:t>
            </w:r>
          </w:p>
        </w:tc>
        <w:tc>
          <w:tcPr>
            <w:tcW w:type="dxa" w:w="1728"/>
          </w:tcPr>
          <w:p>
            <w:r>
              <w:t>0.8974</w:t>
            </w:r>
          </w:p>
        </w:tc>
        <w:tc>
          <w:tcPr>
            <w:tcW w:type="dxa" w:w="1728"/>
          </w:tcPr>
          <w:p>
            <w:r>
              <w:t>0.8156</w:t>
            </w:r>
          </w:p>
        </w:tc>
        <w:tc>
          <w:tcPr>
            <w:tcW w:type="dxa" w:w="1728"/>
          </w:tcPr>
          <w:p>
            <w:r>
              <w:t>No</w:t>
            </w:r>
          </w:p>
        </w:tc>
      </w:tr>
      <w:tr>
        <w:tc>
          <w:tcPr>
            <w:tcW w:type="dxa" w:w="1728"/>
          </w:tcPr>
          <w:p>
            <w:r>
              <w:t>Logistic Regression</w:t>
            </w:r>
          </w:p>
        </w:tc>
        <w:tc>
          <w:tcPr>
            <w:tcW w:type="dxa" w:w="1728"/>
          </w:tcPr>
          <w:p>
            <w:r>
              <w:t>0.8235</w:t>
            </w:r>
          </w:p>
        </w:tc>
        <w:tc>
          <w:tcPr>
            <w:tcW w:type="dxa" w:w="1728"/>
          </w:tcPr>
          <w:p>
            <w:r>
              <w:t>0.8767</w:t>
            </w:r>
          </w:p>
        </w:tc>
        <w:tc>
          <w:tcPr>
            <w:tcW w:type="dxa" w:w="1728"/>
          </w:tcPr>
          <w:p>
            <w:r>
              <w:t>0.7992</w:t>
            </w:r>
          </w:p>
        </w:tc>
        <w:tc>
          <w:tcPr>
            <w:tcW w:type="dxa" w:w="1728"/>
          </w:tcPr>
          <w:p>
            <w:r>
              <w:t>YES</w:t>
            </w:r>
          </w:p>
        </w:tc>
      </w:tr>
      <w:tr>
        <w:tc>
          <w:tcPr>
            <w:tcW w:type="dxa" w:w="1728"/>
          </w:tcPr>
          <w:p>
            <w:r>
              <w:t>Xgboost</w:t>
            </w:r>
          </w:p>
        </w:tc>
        <w:tc>
          <w:tcPr>
            <w:tcW w:type="dxa" w:w="1728"/>
          </w:tcPr>
          <w:p>
            <w:r>
              <w:t>0.7451</w:t>
            </w:r>
          </w:p>
        </w:tc>
        <w:tc>
          <w:tcPr>
            <w:tcW w:type="dxa" w:w="1728"/>
          </w:tcPr>
          <w:p>
            <w:r>
              <w:t>0.8312</w:t>
            </w:r>
          </w:p>
        </w:tc>
        <w:tc>
          <w:tcPr>
            <w:tcW w:type="dxa" w:w="1728"/>
          </w:tcPr>
          <w:p>
            <w:r>
              <w:t>0.7857</w:t>
            </w:r>
          </w:p>
        </w:tc>
        <w:tc>
          <w:tcPr>
            <w:tcW w:type="dxa" w:w="1728"/>
          </w:tcPr>
          <w:p>
            <w:r>
              <w:t>No</w:t>
            </w:r>
          </w:p>
        </w:tc>
      </w:tr>
    </w:tbl>
    <w:p/>
    <w:p>
      <w:pPr>
        <w:jc w:val="left"/>
      </w:pPr>
      <w:r>
        <w:t>Final verdict: Deploy Logistic Regression for clinical screening. Consider re-evaluating Random Forest with a larger dataset (&gt;1000 patients) where its ensemble advantage can be better utilised without overfitting risk.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