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b/>
          <w:color w:val="1F497D"/>
          <w:sz w:val="56"/>
        </w:rPr>
        <w:t>Parkinson's Disease Prediction</w:t>
      </w:r>
    </w:p>
    <w:p/>
    <w:p>
      <w:pPr>
        <w:jc w:val="center"/>
      </w:pPr>
      <w:r>
        <w:rPr>
          <w:rFonts w:ascii="Calibri" w:hAnsi="Calibri"/>
          <w:color w:val="444444"/>
          <w:sz w:val="32"/>
        </w:rPr>
        <w:t>Model Evaluation &amp; Explainability Report</w:t>
      </w:r>
    </w:p>
    <w:p/>
    <w:p>
      <w:pPr>
        <w:jc w:val="center"/>
      </w:pPr>
      <w:r>
        <w:t>───────────────────────────────────────────────────────</w:t>
      </w:r>
    </w:p>
    <w:p/>
    <w:p>
      <w:pPr>
        <w:spacing w:before="40" w:after="40"/>
        <w:jc w:val="center"/>
      </w:pPr>
      <w:r>
        <w:rPr>
          <w:rFonts w:ascii="Calibri" w:hAnsi="Calibri"/>
          <w:color w:val="333333"/>
          <w:sz w:val="22"/>
        </w:rPr>
        <w:t>Date: 06 April 2026</w:t>
      </w:r>
    </w:p>
    <w:p>
      <w:pPr>
        <w:spacing w:before="40" w:after="40"/>
        <w:jc w:val="center"/>
      </w:pPr>
      <w:r>
        <w:rPr>
          <w:rFonts w:ascii="Calibri" w:hAnsi="Calibri"/>
          <w:color w:val="333333"/>
          <w:sz w:val="22"/>
        </w:rPr>
        <w:t>Dataset: Parkinson's Disease Voice Measurements</w:t>
      </w:r>
    </w:p>
    <w:p>
      <w:pPr>
        <w:spacing w:before="40" w:after="40"/>
        <w:jc w:val="center"/>
      </w:pPr>
      <w:r>
        <w:rPr>
          <w:rFonts w:ascii="Calibri" w:hAnsi="Calibri"/>
          <w:color w:val="333333"/>
          <w:sz w:val="22"/>
        </w:rPr>
        <w:t>Models: Logistic Regression · Random Forest · XGBoost</w:t>
      </w:r>
    </w:p>
    <w:p>
      <w:pPr>
        <w:spacing w:before="40" w:after="40"/>
        <w:jc w:val="center"/>
      </w:pPr>
      <w:r>
        <w:rPr>
          <w:rFonts w:ascii="Calibri" w:hAnsi="Calibri"/>
          <w:color w:val="333333"/>
          <w:sz w:val="22"/>
        </w:rPr>
        <w:t>Framework: scikit-learn · XGBoost · SHAP · FastAPI</w:t>
      </w:r>
    </w:p>
    <w:p/>
    <w:p/>
    <w:p>
      <w:pPr>
        <w:jc w:val="center"/>
      </w:pPr>
      <w:r>
        <w:rPr>
          <w:rFonts w:ascii="Calibri" w:hAnsi="Calibri"/>
          <w:color w:val="1F497D"/>
          <w:sz w:val="20"/>
        </w:rPr>
        <w:t>GitHub: https://github.com/surajmhulke/parkinson-disease-prediction</w:t>
      </w:r>
    </w:p>
    <w:p>
      <w:r>
        <w:br w:type="page"/>
      </w:r>
    </w:p>
    <w:p>
      <w:pPr>
        <w:pStyle w:val="Heading1"/>
        <w:spacing w:before="240" w:after="80"/>
        <w:jc w:val="left"/>
      </w:pPr>
      <w:r>
        <w:rPr>
          <w:b/>
          <w:color w:val="1F497D"/>
          <w:sz w:val="32"/>
        </w:rPr>
        <w:t>Table of Contents</w:t>
      </w:r>
    </w:p>
    <w:p>
      <w:pPr>
        <w:pBdr>
          <w:bottom w:val="single" w:sz="6" w:space="1" w:color="1F497D"/>
        </w:pBdr>
        <w:spacing w:before="80" w:after="80"/>
      </w:pPr>
    </w:p>
    <w:tbl>
      <w:tblPr>
        <w:tblStyle w:val="TableGrid"/>
        <w:tblW w:type="auto" w:w="0"/>
        <w:tblLook w:firstColumn="1" w:firstRow="1" w:lastColumn="0" w:lastRow="0" w:noHBand="0" w:noVBand="1" w:val="04A0"/>
      </w:tblPr>
      <w:tblGrid>
        <w:gridCol w:w="3022"/>
        <w:gridCol w:w="3022"/>
        <w:gridCol w:w="3022"/>
      </w:tblGrid>
      <w:tr>
        <w:tc>
          <w:tcPr>
            <w:tcW w:type="dxa" w:w="3022"/>
            <w:shd w:val="clear" w:color="auto" w:fill="F2F2F2"/>
          </w:tcPr>
          <w:p>
            <w:pPr>
              <w:jc w:val="left"/>
            </w:pPr>
            <w:r/>
            <w:r>
              <w:rPr>
                <w:rFonts w:ascii="Calibri" w:hAnsi="Calibri"/>
                <w:b/>
                <w:color w:val="1F497D"/>
                <w:sz w:val="21"/>
              </w:rPr>
              <w:t>1.</w:t>
            </w:r>
          </w:p>
        </w:tc>
        <w:tc>
          <w:tcPr>
            <w:tcW w:type="dxa" w:w="3022"/>
            <w:shd w:val="clear" w:color="auto" w:fill="FFFFFF"/>
          </w:tcPr>
          <w:p>
            <w:pPr>
              <w:jc w:val="left"/>
            </w:pPr>
            <w:r/>
            <w:r>
              <w:rPr>
                <w:rFonts w:ascii="Calibri" w:hAnsi="Calibri"/>
                <w:sz w:val="21"/>
              </w:rPr>
              <w:t>Data Understanding &amp; Preprocessing</w:t>
            </w:r>
          </w:p>
        </w:tc>
        <w:tc>
          <w:tcPr>
            <w:tcW w:type="dxa" w:w="3022"/>
            <w:shd w:val="clear" w:color="auto" w:fill="F2F2F2"/>
          </w:tcPr>
          <w:p>
            <w:pPr>
              <w:jc w:val="right"/>
            </w:pPr>
            <w:r/>
            <w:r>
              <w:rPr>
                <w:rFonts w:ascii="Calibri" w:hAnsi="Calibri"/>
                <w:sz w:val="21"/>
              </w:rPr>
              <w:t>3</w:t>
            </w:r>
          </w:p>
        </w:tc>
      </w:tr>
      <w:tr>
        <w:tc>
          <w:tcPr>
            <w:tcW w:type="dxa" w:w="3022"/>
            <w:shd w:val="clear" w:color="auto" w:fill="F2F2F2"/>
          </w:tcPr>
          <w:p>
            <w:pPr>
              <w:jc w:val="left"/>
            </w:pPr>
            <w:r/>
            <w:r>
              <w:rPr>
                <w:rFonts w:ascii="Calibri" w:hAnsi="Calibri"/>
                <w:b/>
                <w:color w:val="1F497D"/>
                <w:sz w:val="21"/>
              </w:rPr>
              <w:t>2.</w:t>
            </w:r>
          </w:p>
        </w:tc>
        <w:tc>
          <w:tcPr>
            <w:tcW w:type="dxa" w:w="3022"/>
            <w:shd w:val="clear" w:color="auto" w:fill="FFFFFF"/>
          </w:tcPr>
          <w:p>
            <w:pPr>
              <w:jc w:val="left"/>
            </w:pPr>
            <w:r/>
            <w:r>
              <w:rPr>
                <w:rFonts w:ascii="Calibri" w:hAnsi="Calibri"/>
                <w:sz w:val="21"/>
              </w:rPr>
              <w:t>Model Development</w:t>
            </w:r>
          </w:p>
        </w:tc>
        <w:tc>
          <w:tcPr>
            <w:tcW w:type="dxa" w:w="3022"/>
            <w:shd w:val="clear" w:color="auto" w:fill="F2F2F2"/>
          </w:tcPr>
          <w:p>
            <w:pPr>
              <w:jc w:val="right"/>
            </w:pPr>
            <w:r/>
            <w:r>
              <w:rPr>
                <w:rFonts w:ascii="Calibri" w:hAnsi="Calibri"/>
                <w:sz w:val="21"/>
              </w:rPr>
              <w:t>4</w:t>
            </w:r>
          </w:p>
        </w:tc>
      </w:tr>
      <w:tr>
        <w:tc>
          <w:tcPr>
            <w:tcW w:type="dxa" w:w="3022"/>
            <w:shd w:val="clear" w:color="auto" w:fill="F2F2F2"/>
          </w:tcPr>
          <w:p>
            <w:pPr>
              <w:jc w:val="left"/>
            </w:pPr>
            <w:r/>
            <w:r>
              <w:rPr>
                <w:rFonts w:ascii="Calibri" w:hAnsi="Calibri"/>
                <w:b/>
                <w:color w:val="1F497D"/>
                <w:sz w:val="21"/>
              </w:rPr>
              <w:t>3.</w:t>
            </w:r>
          </w:p>
        </w:tc>
        <w:tc>
          <w:tcPr>
            <w:tcW w:type="dxa" w:w="3022"/>
            <w:shd w:val="clear" w:color="auto" w:fill="FFFFFF"/>
          </w:tcPr>
          <w:p>
            <w:pPr>
              <w:jc w:val="left"/>
            </w:pPr>
            <w:r/>
            <w:r>
              <w:rPr>
                <w:rFonts w:ascii="Calibri" w:hAnsi="Calibri"/>
                <w:sz w:val="21"/>
              </w:rPr>
              <w:t>Model Evaluation &amp; Metrics</w:t>
            </w:r>
          </w:p>
        </w:tc>
        <w:tc>
          <w:tcPr>
            <w:tcW w:type="dxa" w:w="3022"/>
            <w:shd w:val="clear" w:color="auto" w:fill="F2F2F2"/>
          </w:tcPr>
          <w:p>
            <w:pPr>
              <w:jc w:val="right"/>
            </w:pPr>
            <w:r/>
            <w:r>
              <w:rPr>
                <w:rFonts w:ascii="Calibri" w:hAnsi="Calibri"/>
                <w:sz w:val="21"/>
              </w:rPr>
              <w:t>5</w:t>
            </w:r>
          </w:p>
        </w:tc>
      </w:tr>
      <w:tr>
        <w:tc>
          <w:tcPr>
            <w:tcW w:type="dxa" w:w="3022"/>
            <w:shd w:val="clear" w:color="auto" w:fill="F2F2F2"/>
          </w:tcPr>
          <w:p>
            <w:pPr>
              <w:jc w:val="left"/>
            </w:pPr>
            <w:r/>
            <w:r>
              <w:rPr>
                <w:rFonts w:ascii="Calibri" w:hAnsi="Calibri"/>
                <w:b/>
                <w:color w:val="1F497D"/>
                <w:sz w:val="21"/>
              </w:rPr>
              <w:t>4.</w:t>
            </w:r>
          </w:p>
        </w:tc>
        <w:tc>
          <w:tcPr>
            <w:tcW w:type="dxa" w:w="3022"/>
            <w:shd w:val="clear" w:color="auto" w:fill="FFFFFF"/>
          </w:tcPr>
          <w:p>
            <w:pPr>
              <w:jc w:val="left"/>
            </w:pPr>
            <w:r/>
            <w:r>
              <w:rPr>
                <w:rFonts w:ascii="Calibri" w:hAnsi="Calibri"/>
                <w:sz w:val="21"/>
              </w:rPr>
              <w:t>Feature Importance Analysis</w:t>
            </w:r>
          </w:p>
        </w:tc>
        <w:tc>
          <w:tcPr>
            <w:tcW w:type="dxa" w:w="3022"/>
            <w:shd w:val="clear" w:color="auto" w:fill="F2F2F2"/>
          </w:tcPr>
          <w:p>
            <w:pPr>
              <w:jc w:val="right"/>
            </w:pPr>
            <w:r/>
            <w:r>
              <w:rPr>
                <w:rFonts w:ascii="Calibri" w:hAnsi="Calibri"/>
                <w:sz w:val="21"/>
              </w:rPr>
              <w:t>7</w:t>
            </w:r>
          </w:p>
        </w:tc>
      </w:tr>
      <w:tr>
        <w:tc>
          <w:tcPr>
            <w:tcW w:type="dxa" w:w="3022"/>
            <w:shd w:val="clear" w:color="auto" w:fill="F2F2F2"/>
          </w:tcPr>
          <w:p>
            <w:pPr>
              <w:jc w:val="left"/>
            </w:pPr>
            <w:r/>
            <w:r>
              <w:rPr>
                <w:rFonts w:ascii="Calibri" w:hAnsi="Calibri"/>
                <w:b/>
                <w:color w:val="1F497D"/>
                <w:sz w:val="21"/>
              </w:rPr>
              <w:t>5.</w:t>
            </w:r>
          </w:p>
        </w:tc>
        <w:tc>
          <w:tcPr>
            <w:tcW w:type="dxa" w:w="3022"/>
            <w:shd w:val="clear" w:color="auto" w:fill="FFFFFF"/>
          </w:tcPr>
          <w:p>
            <w:pPr>
              <w:jc w:val="left"/>
            </w:pPr>
            <w:r/>
            <w:r>
              <w:rPr>
                <w:rFonts w:ascii="Calibri" w:hAnsi="Calibri"/>
                <w:sz w:val="21"/>
              </w:rPr>
              <w:t>SHAP Explainability</w:t>
            </w:r>
          </w:p>
        </w:tc>
        <w:tc>
          <w:tcPr>
            <w:tcW w:type="dxa" w:w="3022"/>
            <w:shd w:val="clear" w:color="auto" w:fill="F2F2F2"/>
          </w:tcPr>
          <w:p>
            <w:pPr>
              <w:jc w:val="right"/>
            </w:pPr>
            <w:r/>
            <w:r>
              <w:rPr>
                <w:rFonts w:ascii="Calibri" w:hAnsi="Calibri"/>
                <w:sz w:val="21"/>
              </w:rPr>
              <w:t>8</w:t>
            </w:r>
          </w:p>
        </w:tc>
      </w:tr>
      <w:tr>
        <w:tc>
          <w:tcPr>
            <w:tcW w:type="dxa" w:w="3022"/>
            <w:shd w:val="clear" w:color="auto" w:fill="F2F2F2"/>
          </w:tcPr>
          <w:p>
            <w:pPr>
              <w:jc w:val="left"/>
            </w:pPr>
            <w:r/>
            <w:r>
              <w:rPr>
                <w:rFonts w:ascii="Calibri" w:hAnsi="Calibri"/>
                <w:b/>
                <w:color w:val="1F497D"/>
                <w:sz w:val="21"/>
              </w:rPr>
              <w:t>6.</w:t>
            </w:r>
          </w:p>
        </w:tc>
        <w:tc>
          <w:tcPr>
            <w:tcW w:type="dxa" w:w="3022"/>
            <w:shd w:val="clear" w:color="auto" w:fill="FFFFFF"/>
          </w:tcPr>
          <w:p>
            <w:pPr>
              <w:jc w:val="left"/>
            </w:pPr>
            <w:r/>
            <w:r>
              <w:rPr>
                <w:rFonts w:ascii="Calibri" w:hAnsi="Calibri"/>
                <w:sz w:val="21"/>
              </w:rPr>
              <w:t>API Usage — Running &amp; Swagger</w:t>
            </w:r>
          </w:p>
        </w:tc>
        <w:tc>
          <w:tcPr>
            <w:tcW w:type="dxa" w:w="3022"/>
            <w:shd w:val="clear" w:color="auto" w:fill="F2F2F2"/>
          </w:tcPr>
          <w:p>
            <w:pPr>
              <w:jc w:val="right"/>
            </w:pPr>
            <w:r/>
            <w:r>
              <w:rPr>
                <w:rFonts w:ascii="Calibri" w:hAnsi="Calibri"/>
                <w:sz w:val="21"/>
              </w:rPr>
              <w:t>9</w:t>
            </w:r>
          </w:p>
        </w:tc>
      </w:tr>
      <w:tr>
        <w:tc>
          <w:tcPr>
            <w:tcW w:type="dxa" w:w="3022"/>
            <w:shd w:val="clear" w:color="auto" w:fill="F2F2F2"/>
          </w:tcPr>
          <w:p>
            <w:pPr>
              <w:jc w:val="left"/>
            </w:pPr>
            <w:r/>
            <w:r>
              <w:rPr>
                <w:rFonts w:ascii="Calibri" w:hAnsi="Calibri"/>
                <w:b/>
                <w:color w:val="1F497D"/>
                <w:sz w:val="21"/>
              </w:rPr>
              <w:t>7.</w:t>
            </w:r>
          </w:p>
        </w:tc>
        <w:tc>
          <w:tcPr>
            <w:tcW w:type="dxa" w:w="3022"/>
            <w:shd w:val="clear" w:color="auto" w:fill="FFFFFF"/>
          </w:tcPr>
          <w:p>
            <w:pPr>
              <w:jc w:val="left"/>
            </w:pPr>
            <w:r/>
            <w:r>
              <w:rPr>
                <w:rFonts w:ascii="Calibri" w:hAnsi="Calibri"/>
                <w:sz w:val="21"/>
              </w:rPr>
              <w:t>Recommendation &amp; Conclusion</w:t>
            </w:r>
          </w:p>
        </w:tc>
        <w:tc>
          <w:tcPr>
            <w:tcW w:type="dxa" w:w="3022"/>
            <w:shd w:val="clear" w:color="auto" w:fill="F2F2F2"/>
          </w:tcPr>
          <w:p>
            <w:pPr>
              <w:jc w:val="right"/>
            </w:pPr>
            <w:r/>
            <w:r>
              <w:rPr>
                <w:rFonts w:ascii="Calibri" w:hAnsi="Calibri"/>
                <w:sz w:val="21"/>
              </w:rPr>
              <w:t>10</w:t>
            </w:r>
          </w:p>
        </w:tc>
      </w:tr>
    </w:tbl>
    <w:p/>
    <w:p>
      <w:r>
        <w:br w:type="page"/>
      </w:r>
    </w:p>
    <w:p>
      <w:pPr>
        <w:pStyle w:val="Heading1"/>
        <w:spacing w:before="240" w:after="80"/>
        <w:jc w:val="left"/>
      </w:pPr>
      <w:r>
        <w:rPr>
          <w:b/>
          <w:color w:val="1F497D"/>
          <w:sz w:val="32"/>
        </w:rPr>
        <w:t>1. Data Understanding &amp; Preprocessing</w:t>
      </w:r>
    </w:p>
    <w:p>
      <w:pPr>
        <w:pBdr>
          <w:bottom w:val="single" w:sz="6" w:space="1" w:color="1F497D"/>
        </w:pBdr>
        <w:spacing w:before="80" w:after="80"/>
      </w:pPr>
    </w:p>
    <w:p>
      <w:pPr>
        <w:pStyle w:val="Heading2"/>
        <w:spacing w:before="240" w:after="80"/>
        <w:jc w:val="left"/>
      </w:pPr>
      <w:r>
        <w:rPr>
          <w:color w:val="1F497D"/>
          <w:sz w:val="26"/>
        </w:rPr>
        <w:t>1.1 Dataset Overview</w:t>
      </w:r>
    </w:p>
    <w:p>
      <w:pPr>
        <w:spacing w:before="0" w:after="120"/>
        <w:jc w:val="both"/>
      </w:pPr>
      <w:r>
        <w:rPr>
          <w:rFonts w:ascii="Calibri" w:hAnsi="Calibri"/>
          <w:sz w:val="21"/>
        </w:rPr>
        <w:t>The dataset contains 756 voice recordings collected from 252 patients — 188 diagnosed with Parkinson's disease and 64 healthy controls. Each recording is characterised by 754 acoustic features spanning MFCC coefficients, TQWT (Tunable Q-factor Wavelet Transform) sub-band features, jitter, shimmer, and nonlinear dynamical complexity measures. The binary target variable 'class' encodes: 1 = Parkinson's Disease, 0 = Healthy.</w:t>
      </w:r>
    </w:p>
    <w:p>
      <w:pPr>
        <w:spacing w:before="0" w:after="120"/>
        <w:jc w:val="both"/>
      </w:pPr>
      <w:r>
        <w:rPr>
          <w:rFonts w:ascii="Calibri" w:hAnsi="Calibri"/>
          <w:sz w:val="21"/>
        </w:rPr>
        <w:t>Dataset URL: https://media.geeksforgeeks.org/wp-content/uploads/20250122143413596644/parkinson_disease.csv</w:t>
      </w:r>
    </w:p>
    <w:p>
      <w:pPr>
        <w:pStyle w:val="Heading2"/>
        <w:spacing w:before="240" w:after="80"/>
        <w:jc w:val="left"/>
      </w:pPr>
      <w:r>
        <w:rPr>
          <w:color w:val="1F497D"/>
          <w:sz w:val="26"/>
        </w:rPr>
        <w:t>1.2 Exploratory Data Analysis (EDA)</w:t>
      </w:r>
    </w:p>
    <w:p>
      <w:pPr>
        <w:pStyle w:val="ListBullet"/>
        <w:spacing w:before="0" w:after="60"/>
      </w:pPr>
      <w:r>
        <w:rPr>
          <w:rFonts w:ascii="Calibri" w:hAnsi="Calibri"/>
          <w:sz w:val="21"/>
        </w:rPr>
        <w:t>Total missing values: 0 — no imputation required</w:t>
      </w:r>
    </w:p>
    <w:p>
      <w:pPr>
        <w:pStyle w:val="ListBullet"/>
        <w:spacing w:before="0" w:after="60"/>
      </w:pPr>
      <w:r>
        <w:rPr>
          <w:rFonts w:ascii="Calibri" w:hAnsi="Calibri"/>
          <w:sz w:val="21"/>
        </w:rPr>
        <w:t>Class imbalance: 74.6% Parkinson's vs 25.4% Healthy — addressed using RandomOverSampler</w:t>
      </w:r>
    </w:p>
    <w:p>
      <w:pPr>
        <w:pStyle w:val="ListBullet"/>
        <w:spacing w:before="0" w:after="60"/>
      </w:pPr>
      <w:r>
        <w:rPr>
          <w:rFonts w:ascii="Calibri" w:hAnsi="Calibri"/>
          <w:sz w:val="21"/>
        </w:rPr>
        <w:t>Dataset dimensions: 756 rows × 755 columns (float64: 749, int64: 6)</w:t>
      </w:r>
    </w:p>
    <w:p>
      <w:pPr>
        <w:pStyle w:val="ListBullet"/>
        <w:spacing w:before="0" w:after="60"/>
      </w:pPr>
      <w:r>
        <w:rPr>
          <w:rFonts w:ascii="Calibri" w:hAnsi="Calibri"/>
          <w:sz w:val="21"/>
        </w:rPr>
        <w:t>High inter-feature correlation observed (r &gt; 0.7) — requires pruning before modelling</w:t>
      </w:r>
    </w:p>
    <w:p/>
    <w:p>
      <w:pPr>
        <w:jc w:val="center"/>
      </w:pPr>
      <w:r>
        <w:drawing>
          <wp:inline xmlns:a="http://schemas.openxmlformats.org/drawingml/2006/main" xmlns:pic="http://schemas.openxmlformats.org/drawingml/2006/picture">
            <wp:extent cx="3200400" cy="3161934"/>
            <wp:docPr id="1" name="Picture 1"/>
            <wp:cNvGraphicFramePr>
              <a:graphicFrameLocks noChangeAspect="1"/>
            </wp:cNvGraphicFramePr>
            <a:graphic>
              <a:graphicData uri="http://schemas.openxmlformats.org/drawingml/2006/picture">
                <pic:pic>
                  <pic:nvPicPr>
                    <pic:cNvPr id="0" name="class_distribution.png"/>
                    <pic:cNvPicPr/>
                  </pic:nvPicPr>
                  <pic:blipFill>
                    <a:blip r:embed="rId9"/>
                    <a:stretch>
                      <a:fillRect/>
                    </a:stretch>
                  </pic:blipFill>
                  <pic:spPr>
                    <a:xfrm>
                      <a:off x="0" y="0"/>
                      <a:ext cx="3200400" cy="3161934"/>
                    </a:xfrm>
                    <a:prstGeom prst="rect"/>
                  </pic:spPr>
                </pic:pic>
              </a:graphicData>
            </a:graphic>
          </wp:inline>
        </w:drawing>
      </w:r>
    </w:p>
    <w:p>
      <w:pPr>
        <w:spacing w:before="40" w:after="200"/>
        <w:jc w:val="center"/>
      </w:pPr>
      <w:r>
        <w:rPr>
          <w:i/>
          <w:color w:val="666666"/>
          <w:sz w:val="18"/>
        </w:rPr>
        <w:t>Figure 1 — Class distribution: Parkinson's vs Healthy patients</w:t>
      </w:r>
    </w:p>
    <w:p>
      <w:pPr>
        <w:jc w:val="center"/>
      </w:pPr>
      <w:r>
        <w:drawing>
          <wp:inline xmlns:a="http://schemas.openxmlformats.org/drawingml/2006/main" xmlns:pic="http://schemas.openxmlformats.org/drawingml/2006/picture">
            <wp:extent cx="5029200" cy="4085691"/>
            <wp:docPr id="2" name="Picture 2"/>
            <wp:cNvGraphicFramePr>
              <a:graphicFrameLocks noChangeAspect="1"/>
            </wp:cNvGraphicFramePr>
            <a:graphic>
              <a:graphicData uri="http://schemas.openxmlformats.org/drawingml/2006/picture">
                <pic:pic>
                  <pic:nvPicPr>
                    <pic:cNvPr id="0" name="correlation_heatmap.png"/>
                    <pic:cNvPicPr/>
                  </pic:nvPicPr>
                  <pic:blipFill>
                    <a:blip r:embed="rId10"/>
                    <a:stretch>
                      <a:fillRect/>
                    </a:stretch>
                  </pic:blipFill>
                  <pic:spPr>
                    <a:xfrm>
                      <a:off x="0" y="0"/>
                      <a:ext cx="5029200" cy="4085691"/>
                    </a:xfrm>
                    <a:prstGeom prst="rect"/>
                  </pic:spPr>
                </pic:pic>
              </a:graphicData>
            </a:graphic>
          </wp:inline>
        </w:drawing>
      </w:r>
    </w:p>
    <w:p>
      <w:pPr>
        <w:spacing w:before="40" w:after="200"/>
        <w:jc w:val="center"/>
      </w:pPr>
      <w:r>
        <w:rPr>
          <w:i/>
          <w:color w:val="666666"/>
          <w:sz w:val="18"/>
        </w:rPr>
        <w:t>Figure 2 — Pearson correlation heatmap (first 20 features)</w:t>
      </w:r>
    </w:p>
    <w:p>
      <w:pPr>
        <w:pStyle w:val="Heading2"/>
        <w:spacing w:before="240" w:after="80"/>
        <w:jc w:val="left"/>
      </w:pPr>
      <w:r>
        <w:rPr>
          <w:color w:val="1F497D"/>
          <w:sz w:val="26"/>
        </w:rPr>
        <w:t>1.3 Preprocessing Pipeline</w:t>
      </w:r>
    </w:p>
    <w:tbl>
      <w:tblPr>
        <w:tblStyle w:val="TableGrid"/>
        <w:tblW w:type="auto" w:w="0"/>
        <w:tblLook w:firstColumn="1" w:firstRow="1" w:lastColumn="0" w:lastRow="0" w:noHBand="0" w:noVBand="1" w:val="04A0"/>
      </w:tblPr>
      <w:tblGrid>
        <w:gridCol w:w="4533"/>
        <w:gridCol w:w="4533"/>
      </w:tblGrid>
      <w:tr>
        <w:tc>
          <w:tcPr>
            <w:tcW w:type="dxa" w:w="4533"/>
            <w:shd w:val="clear" w:color="auto" w:fill="1F497D"/>
          </w:tcPr>
          <w:p>
            <w:pPr>
              <w:jc w:val="center"/>
            </w:pPr>
            <w:r/>
            <w:r>
              <w:rPr>
                <w:rFonts w:ascii="Calibri" w:hAnsi="Calibri"/>
                <w:b/>
                <w:color w:val="FFFFFF"/>
                <w:sz w:val="20"/>
              </w:rPr>
              <w:t>Step</w:t>
            </w:r>
          </w:p>
        </w:tc>
        <w:tc>
          <w:tcPr>
            <w:tcW w:type="dxa" w:w="4533"/>
            <w:shd w:val="clear" w:color="auto" w:fill="1F497D"/>
          </w:tcPr>
          <w:p>
            <w:pPr>
              <w:jc w:val="center"/>
            </w:pPr>
            <w:r/>
            <w:r>
              <w:rPr>
                <w:rFonts w:ascii="Calibri" w:hAnsi="Calibri"/>
                <w:b/>
                <w:color w:val="FFFFFF"/>
                <w:sz w:val="20"/>
              </w:rPr>
              <w:t>Description</w:t>
            </w:r>
          </w:p>
        </w:tc>
      </w:tr>
      <w:tr>
        <w:tc>
          <w:tcPr>
            <w:tcW w:type="dxa" w:w="4533"/>
            <w:shd w:val="clear" w:color="auto" w:fill="F2F2F2"/>
          </w:tcPr>
          <w:p>
            <w:r/>
            <w:r>
              <w:rPr>
                <w:rFonts w:ascii="Calibri" w:hAnsi="Calibri"/>
                <w:b/>
                <w:sz w:val="20"/>
              </w:rPr>
              <w:t>Patient Aggregation</w:t>
            </w:r>
          </w:p>
        </w:tc>
        <w:tc>
          <w:tcPr>
            <w:tcW w:type="dxa" w:w="4533"/>
            <w:shd w:val="clear" w:color="auto" w:fill="FFFFFF"/>
          </w:tcPr>
          <w:p>
            <w:r/>
            <w:r>
              <w:rPr>
                <w:rFonts w:ascii="Calibri" w:hAnsi="Calibri"/>
                <w:sz w:val="20"/>
              </w:rPr>
              <w:t>Multiple recordings per patient averaged using groupby(id).mean() → 252 unique patients</w:t>
            </w:r>
          </w:p>
        </w:tc>
      </w:tr>
      <w:tr>
        <w:tc>
          <w:tcPr>
            <w:tcW w:type="dxa" w:w="4533"/>
            <w:shd w:val="clear" w:color="auto" w:fill="FFFFFF"/>
          </w:tcPr>
          <w:p>
            <w:r/>
            <w:r>
              <w:rPr>
                <w:rFonts w:ascii="Calibri" w:hAnsi="Calibri"/>
                <w:b/>
                <w:sz w:val="20"/>
              </w:rPr>
              <w:t>Correlation Filter</w:t>
            </w:r>
          </w:p>
        </w:tc>
        <w:tc>
          <w:tcPr>
            <w:tcW w:type="dxa" w:w="4533"/>
            <w:shd w:val="clear" w:color="auto" w:fill="F2F2F2"/>
          </w:tcPr>
          <w:p>
            <w:r/>
            <w:r>
              <w:rPr>
                <w:rFonts w:ascii="Calibri" w:hAnsi="Calibri"/>
                <w:sz w:val="20"/>
              </w:rPr>
              <w:t>Feature pairs with |r| &gt; 0.7 removed → 754 → 287 features retained</w:t>
            </w:r>
          </w:p>
        </w:tc>
      </w:tr>
      <w:tr>
        <w:tc>
          <w:tcPr>
            <w:tcW w:type="dxa" w:w="4533"/>
            <w:shd w:val="clear" w:color="auto" w:fill="F2F2F2"/>
          </w:tcPr>
          <w:p>
            <w:r/>
            <w:r>
              <w:rPr>
                <w:rFonts w:ascii="Calibri" w:hAnsi="Calibri"/>
                <w:b/>
                <w:sz w:val="20"/>
              </w:rPr>
              <w:t>Feature Selection</w:t>
            </w:r>
          </w:p>
        </w:tc>
        <w:tc>
          <w:tcPr>
            <w:tcW w:type="dxa" w:w="4533"/>
            <w:shd w:val="clear" w:color="auto" w:fill="FFFFFF"/>
          </w:tcPr>
          <w:p>
            <w:r/>
            <w:r>
              <w:rPr>
                <w:rFonts w:ascii="Calibri" w:hAnsi="Calibri"/>
                <w:sz w:val="20"/>
              </w:rPr>
              <w:t>SelectKBest with chi-squared statistic, top 30 features selected</w:t>
            </w:r>
          </w:p>
        </w:tc>
      </w:tr>
      <w:tr>
        <w:tc>
          <w:tcPr>
            <w:tcW w:type="dxa" w:w="4533"/>
            <w:shd w:val="clear" w:color="auto" w:fill="FFFFFF"/>
          </w:tcPr>
          <w:p>
            <w:r/>
            <w:r>
              <w:rPr>
                <w:rFonts w:ascii="Calibri" w:hAnsi="Calibri"/>
                <w:b/>
                <w:sz w:val="20"/>
              </w:rPr>
              <w:t>Scaling</w:t>
            </w:r>
          </w:p>
        </w:tc>
        <w:tc>
          <w:tcPr>
            <w:tcW w:type="dxa" w:w="4533"/>
            <w:shd w:val="clear" w:color="auto" w:fill="F2F2F2"/>
          </w:tcPr>
          <w:p>
            <w:r/>
            <w:r>
              <w:rPr>
                <w:rFonts w:ascii="Calibri" w:hAnsi="Calibri"/>
                <w:sz w:val="20"/>
              </w:rPr>
              <w:t>MinMaxScaler applied before chi-squared test to ensure non-negative values</w:t>
            </w:r>
          </w:p>
        </w:tc>
      </w:tr>
      <w:tr>
        <w:tc>
          <w:tcPr>
            <w:tcW w:type="dxa" w:w="4533"/>
            <w:shd w:val="clear" w:color="auto" w:fill="F2F2F2"/>
          </w:tcPr>
          <w:p>
            <w:r/>
            <w:r>
              <w:rPr>
                <w:rFonts w:ascii="Calibri" w:hAnsi="Calibri"/>
                <w:b/>
                <w:sz w:val="20"/>
              </w:rPr>
              <w:t>Train / Val Split</w:t>
            </w:r>
          </w:p>
        </w:tc>
        <w:tc>
          <w:tcPr>
            <w:tcW w:type="dxa" w:w="4533"/>
            <w:shd w:val="clear" w:color="auto" w:fill="FFFFFF"/>
          </w:tcPr>
          <w:p>
            <w:r/>
            <w:r>
              <w:rPr>
                <w:rFonts w:ascii="Calibri" w:hAnsi="Calibri"/>
                <w:sz w:val="20"/>
              </w:rPr>
              <w:t>80/20 stratified split (random_state=10) → 201 train, 51 validation samples</w:t>
            </w:r>
          </w:p>
        </w:tc>
      </w:tr>
      <w:tr>
        <w:tc>
          <w:tcPr>
            <w:tcW w:type="dxa" w:w="4533"/>
            <w:shd w:val="clear" w:color="auto" w:fill="FFFFFF"/>
          </w:tcPr>
          <w:p>
            <w:r/>
            <w:r>
              <w:rPr>
                <w:rFonts w:ascii="Calibri" w:hAnsi="Calibri"/>
                <w:b/>
                <w:sz w:val="20"/>
              </w:rPr>
              <w:t>Oversampling</w:t>
            </w:r>
          </w:p>
        </w:tc>
        <w:tc>
          <w:tcPr>
            <w:tcW w:type="dxa" w:w="4533"/>
            <w:shd w:val="clear" w:color="auto" w:fill="F2F2F2"/>
          </w:tcPr>
          <w:p>
            <w:r/>
            <w:r>
              <w:rPr>
                <w:rFonts w:ascii="Calibri" w:hAnsi="Calibri"/>
                <w:sz w:val="20"/>
              </w:rPr>
              <w:t>RandomOverSampler (strategy=1.0) balances training set → 151 Parkinson / 151 Healthy</w:t>
            </w:r>
          </w:p>
        </w:tc>
      </w:tr>
    </w:tbl>
    <w:p/>
    <w:p>
      <w:pPr>
        <w:spacing w:before="0" w:after="120"/>
        <w:jc w:val="both"/>
      </w:pPr>
      <w:r>
        <w:rPr>
          <w:rFonts w:ascii="Calibri" w:hAnsi="Calibri"/>
          <w:i/>
          <w:sz w:val="21"/>
        </w:rPr>
        <w:t>Final selected features (30): tqwt_kurtosisValue_dec_34, tqwt_kurtosisValue_dec_28, tqwt_kurtosisValue_dec_26, tqwt_kurtosisValue_dec_25, tqwt_maxValue_dec_1, tqwt_minValue_dec_12, tqwt_TKEO_mean_dec_32, tqwt_TKEO_mean_dec_13, tqwt_entropy_log_dec_26, tqwt_entropy_shannon_dec_35, tqwt_entropy_shannon_dec_17, tqwt_entropy_shannon_dec_11, tqwt_entropy_shannon_dec_9, tqwt_energy_dec_33, tqwt_energy_dec_31, tqwt_energy_dec_28, tqwt_energy_dec_27, tqwt_energy_dec_26, tqwt_energy_dec_25, tqwt_energy_dec_16, tqwt_energy_dec_14, tqwt_energy_dec_12, tqwt_energy_dec_7, std_MFCC_8th_coef, mean_MFCC_2nd_coef, IMF_SNR_SEO, VFER_mean, f1, DFA, gender</w:t>
      </w:r>
    </w:p>
    <w:p>
      <w:r>
        <w:br w:type="page"/>
      </w:r>
    </w:p>
    <w:p>
      <w:pPr>
        <w:pStyle w:val="Heading1"/>
        <w:spacing w:before="240" w:after="80"/>
        <w:jc w:val="left"/>
      </w:pPr>
      <w:r>
        <w:rPr>
          <w:b/>
          <w:color w:val="1F497D"/>
          <w:sz w:val="32"/>
        </w:rPr>
        <w:t>2. Model Development</w:t>
      </w:r>
    </w:p>
    <w:p>
      <w:pPr>
        <w:pBdr>
          <w:bottom w:val="single" w:sz="6" w:space="1" w:color="1F497D"/>
        </w:pBdr>
        <w:spacing w:before="80" w:after="80"/>
      </w:pPr>
    </w:p>
    <w:p>
      <w:pPr>
        <w:spacing w:before="0" w:after="120"/>
        <w:jc w:val="both"/>
      </w:pPr>
      <w:r>
        <w:rPr>
          <w:rFonts w:ascii="Calibri" w:hAnsi="Calibri"/>
          <w:sz w:val="21"/>
        </w:rPr>
        <w:t>Three traditional supervised ML classifiers were trained on the preprocessed dataset. All training code is fully modular — each concern (preprocessing, training, evaluation) is isolated in its own Python module under src/ and can be invoked independently.</w:t>
      </w:r>
    </w:p>
    <w:p>
      <w:pPr>
        <w:pStyle w:val="Heading2"/>
        <w:spacing w:before="240" w:after="80"/>
        <w:jc w:val="left"/>
      </w:pPr>
      <w:r>
        <w:rPr>
          <w:color w:val="1F497D"/>
          <w:sz w:val="26"/>
        </w:rPr>
        <w:t>2.1 Models Trained</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val="clear" w:color="auto" w:fill="1F497D"/>
          </w:tcPr>
          <w:p>
            <w:pPr>
              <w:jc w:val="center"/>
            </w:pPr>
            <w:r/>
            <w:r>
              <w:rPr>
                <w:rFonts w:ascii="Calibri" w:hAnsi="Calibri"/>
                <w:b/>
                <w:color w:val="FFFFFF"/>
                <w:sz w:val="20"/>
              </w:rPr>
              <w:t>Model</w:t>
            </w:r>
          </w:p>
        </w:tc>
        <w:tc>
          <w:tcPr>
            <w:tcW w:type="dxa" w:w="3022"/>
            <w:shd w:val="clear" w:color="auto" w:fill="1F497D"/>
          </w:tcPr>
          <w:p>
            <w:pPr>
              <w:jc w:val="center"/>
            </w:pPr>
            <w:r/>
            <w:r>
              <w:rPr>
                <w:rFonts w:ascii="Calibri" w:hAnsi="Calibri"/>
                <w:b/>
                <w:color w:val="FFFFFF"/>
                <w:sz w:val="20"/>
              </w:rPr>
              <w:t>Key Parameters</w:t>
            </w:r>
          </w:p>
        </w:tc>
        <w:tc>
          <w:tcPr>
            <w:tcW w:type="dxa" w:w="3022"/>
            <w:shd w:val="clear" w:color="auto" w:fill="1F497D"/>
          </w:tcPr>
          <w:p>
            <w:pPr>
              <w:jc w:val="center"/>
            </w:pPr>
            <w:r/>
            <w:r>
              <w:rPr>
                <w:rFonts w:ascii="Calibri" w:hAnsi="Calibri"/>
                <w:b/>
                <w:color w:val="FFFFFF"/>
                <w:sz w:val="20"/>
              </w:rPr>
              <w:t>Rationale</w:t>
            </w:r>
          </w:p>
        </w:tc>
      </w:tr>
      <w:tr>
        <w:tc>
          <w:tcPr>
            <w:tcW w:type="dxa" w:w="3022"/>
            <w:shd w:val="clear" w:color="auto" w:fill="F2F2F2"/>
          </w:tcPr>
          <w:p>
            <w:r/>
            <w:r>
              <w:rPr>
                <w:rFonts w:ascii="Calibri" w:hAnsi="Calibri"/>
                <w:sz w:val="20"/>
              </w:rPr>
              <w:t>Logistic Regression</w:t>
            </w:r>
          </w:p>
        </w:tc>
        <w:tc>
          <w:tcPr>
            <w:tcW w:type="dxa" w:w="3022"/>
            <w:shd w:val="clear" w:color="auto" w:fill="F2F2F2"/>
          </w:tcPr>
          <w:p>
            <w:r/>
            <w:r>
              <w:rPr>
                <w:rFonts w:ascii="Calibri" w:hAnsi="Calibri"/>
                <w:sz w:val="20"/>
              </w:rPr>
              <w:t>class_weight=balanced</w:t>
              <w:br/>
              <w:t>max_iter=1000</w:t>
            </w:r>
          </w:p>
        </w:tc>
        <w:tc>
          <w:tcPr>
            <w:tcW w:type="dxa" w:w="3022"/>
            <w:shd w:val="clear" w:color="auto" w:fill="F2F2F2"/>
          </w:tcPr>
          <w:p>
            <w:r/>
            <w:r>
              <w:rPr>
                <w:rFonts w:ascii="Calibri" w:hAnsi="Calibri"/>
                <w:sz w:val="20"/>
              </w:rPr>
              <w:t>Interpretable linear baseline; calibrated probabilities; suitable for small datasets</w:t>
            </w:r>
          </w:p>
        </w:tc>
      </w:tr>
      <w:tr>
        <w:tc>
          <w:tcPr>
            <w:tcW w:type="dxa" w:w="3022"/>
            <w:shd w:val="clear" w:color="auto" w:fill="FFFFFF"/>
          </w:tcPr>
          <w:p>
            <w:r/>
            <w:r>
              <w:rPr>
                <w:rFonts w:ascii="Calibri" w:hAnsi="Calibri"/>
                <w:sz w:val="20"/>
              </w:rPr>
              <w:t>Random Forest</w:t>
            </w:r>
          </w:p>
        </w:tc>
        <w:tc>
          <w:tcPr>
            <w:tcW w:type="dxa" w:w="3022"/>
            <w:shd w:val="clear" w:color="auto" w:fill="FFFFFF"/>
          </w:tcPr>
          <w:p>
            <w:r/>
            <w:r>
              <w:rPr>
                <w:rFonts w:ascii="Calibri" w:hAnsi="Calibri"/>
                <w:sz w:val="20"/>
              </w:rPr>
              <w:t>n_estimators=100</w:t>
              <w:br/>
              <w:t>class_weight=balanced</w:t>
            </w:r>
          </w:p>
        </w:tc>
        <w:tc>
          <w:tcPr>
            <w:tcW w:type="dxa" w:w="3022"/>
            <w:shd w:val="clear" w:color="auto" w:fill="FFFFFF"/>
          </w:tcPr>
          <w:p>
            <w:r/>
            <w:r>
              <w:rPr>
                <w:rFonts w:ascii="Calibri" w:hAnsi="Calibri"/>
                <w:sz w:val="20"/>
              </w:rPr>
              <w:t>Non-linear ensemble; robust to outliers; built-in feature importance</w:t>
            </w:r>
          </w:p>
        </w:tc>
      </w:tr>
      <w:tr>
        <w:tc>
          <w:tcPr>
            <w:tcW w:type="dxa" w:w="3022"/>
            <w:shd w:val="clear" w:color="auto" w:fill="F2F2F2"/>
          </w:tcPr>
          <w:p>
            <w:r/>
            <w:r>
              <w:rPr>
                <w:rFonts w:ascii="Calibri" w:hAnsi="Calibri"/>
                <w:sz w:val="20"/>
              </w:rPr>
              <w:t>XGBoost</w:t>
            </w:r>
          </w:p>
        </w:tc>
        <w:tc>
          <w:tcPr>
            <w:tcW w:type="dxa" w:w="3022"/>
            <w:shd w:val="clear" w:color="auto" w:fill="F2F2F2"/>
          </w:tcPr>
          <w:p>
            <w:r/>
            <w:r>
              <w:rPr>
                <w:rFonts w:ascii="Calibri" w:hAnsi="Calibri"/>
                <w:sz w:val="20"/>
              </w:rPr>
              <w:t>n_estimators=100</w:t>
              <w:br/>
              <w:t>eval_metric=logloss</w:t>
            </w:r>
          </w:p>
        </w:tc>
        <w:tc>
          <w:tcPr>
            <w:tcW w:type="dxa" w:w="3022"/>
            <w:shd w:val="clear" w:color="auto" w:fill="F2F2F2"/>
          </w:tcPr>
          <w:p>
            <w:r/>
            <w:r>
              <w:rPr>
                <w:rFonts w:ascii="Calibri" w:hAnsi="Calibri"/>
                <w:sz w:val="20"/>
              </w:rPr>
              <w:t>Gradient boosted trees; high performance on tabular data</w:t>
            </w:r>
          </w:p>
        </w:tc>
      </w:tr>
    </w:tbl>
    <w:p/>
    <w:p>
      <w:pPr>
        <w:pStyle w:val="Heading2"/>
        <w:spacing w:before="240" w:after="80"/>
        <w:jc w:val="left"/>
      </w:pPr>
      <w:r>
        <w:rPr>
          <w:color w:val="1F497D"/>
          <w:sz w:val="26"/>
        </w:rPr>
        <w:t>2.2 Project Structure</w:t>
      </w:r>
    </w:p>
    <w:p>
      <w:pPr>
        <w:pStyle w:val="ListBullet"/>
        <w:spacing w:before="0" w:after="60"/>
      </w:pPr>
      <w:r>
        <w:rPr>
          <w:rFonts w:ascii="Calibri" w:hAnsi="Calibri"/>
          <w:sz w:val="21"/>
        </w:rPr>
        <w:t>src/data_preprocessing.py  — load, EDA, correlation filter, SelectKBest, split, oversample</w:t>
      </w:r>
    </w:p>
    <w:p>
      <w:pPr>
        <w:pStyle w:val="ListBullet"/>
        <w:spacing w:before="0" w:after="60"/>
      </w:pPr>
      <w:r>
        <w:rPr>
          <w:rFonts w:ascii="Calibri" w:hAnsi="Calibri"/>
          <w:sz w:val="21"/>
        </w:rPr>
        <w:t>src/train.py               — model registry (get_models), train_model(), save_model(), CLI</w:t>
      </w:r>
    </w:p>
    <w:p>
      <w:pPr>
        <w:pStyle w:val="ListBullet"/>
        <w:spacing w:before="0" w:after="60"/>
      </w:pPr>
      <w:r>
        <w:rPr>
          <w:rFonts w:ascii="Calibri" w:hAnsi="Calibri"/>
          <w:sz w:val="21"/>
        </w:rPr>
        <w:t>src/evaluate.py            — evaluate_model(), plot_confusion_matrix(), plot_shap(), CLI</w:t>
      </w:r>
    </w:p>
    <w:p>
      <w:pPr>
        <w:pStyle w:val="ListBullet"/>
        <w:spacing w:before="0" w:after="60"/>
      </w:pPr>
      <w:r>
        <w:rPr>
          <w:rFonts w:ascii="Calibri" w:hAnsi="Calibri"/>
          <w:sz w:val="21"/>
        </w:rPr>
        <w:t>src/generate_report.py     — this report generator</w:t>
      </w:r>
    </w:p>
    <w:p>
      <w:pPr>
        <w:pStyle w:val="ListBullet"/>
        <w:spacing w:before="0" w:after="60"/>
      </w:pPr>
      <w:r>
        <w:rPr>
          <w:rFonts w:ascii="Calibri" w:hAnsi="Calibri"/>
          <w:sz w:val="21"/>
        </w:rPr>
        <w:t>app/main.py                — FastAPI REST API with /predict, /features, /models endpoints</w:t>
      </w:r>
    </w:p>
    <w:p/>
    <w:p>
      <w:pPr>
        <w:pStyle w:val="Heading2"/>
        <w:spacing w:before="240" w:after="80"/>
        <w:jc w:val="left"/>
      </w:pPr>
      <w:r>
        <w:rPr>
          <w:color w:val="1F497D"/>
          <w:sz w:val="26"/>
        </w:rPr>
        <w:t>2.3 Training Command</w:t>
      </w:r>
    </w:p>
    <w:p>
      <w:pPr>
        <w:shd w:val="clear" w:color="auto" w:fill="F2F2F2"/>
        <w:spacing w:before="80" w:after="80"/>
      </w:pPr>
      <w:r>
        <w:rPr>
          <w:rFonts w:ascii="Courier New" w:hAnsi="Courier New"/>
          <w:sz w:val="18"/>
        </w:rPr>
        <w:t># Train all models</w:t>
        <w:br/>
        <w:t>python src/train.py --data_path dataset/parkinson_disease.csv --seed 42</w:t>
        <w:br/>
        <w:br/>
        <w:t># Train a specific model</w:t>
        <w:br/>
        <w:t>python src/train.py --data_path dataset/parkinson_disease.csv --model logistic_regression --seed 42</w:t>
      </w:r>
    </w:p>
    <w:p>
      <w:r>
        <w:br w:type="page"/>
      </w:r>
    </w:p>
    <w:p>
      <w:pPr>
        <w:pStyle w:val="Heading1"/>
        <w:spacing w:before="240" w:after="80"/>
        <w:jc w:val="left"/>
      </w:pPr>
      <w:r>
        <w:rPr>
          <w:b/>
          <w:color w:val="1F497D"/>
          <w:sz w:val="32"/>
        </w:rPr>
        <w:t>3. Model Evaluation &amp; Metrics</w:t>
      </w:r>
    </w:p>
    <w:p>
      <w:pPr>
        <w:pBdr>
          <w:bottom w:val="single" w:sz="6" w:space="1" w:color="1F497D"/>
        </w:pBdr>
        <w:spacing w:before="80" w:after="80"/>
      </w:pPr>
    </w:p>
    <w:p>
      <w:pPr>
        <w:spacing w:before="0" w:after="120"/>
        <w:jc w:val="both"/>
      </w:pPr>
      <w:r>
        <w:rPr>
          <w:rFonts w:ascii="Calibri" w:hAnsi="Calibri"/>
          <w:sz w:val="21"/>
        </w:rPr>
        <w:t>All models are evaluated on the held-out 20% validation set (51 patients). Three standard classification metrics are reported: Accuracy (overall correct predictions), F1 Score (harmonic mean of precision and recall, weighted toward Parkinson class), and ROC-AUC (area under the receiver operating characteristic curve — the primary metric for imbalanced clinical classification tasks).</w:t>
      </w:r>
    </w:p>
    <w:p>
      <w:pPr>
        <w:pStyle w:val="Heading2"/>
        <w:spacing w:before="240" w:after="80"/>
        <w:jc w:val="left"/>
      </w:pPr>
      <w:r>
        <w:rPr>
          <w:color w:val="1F497D"/>
          <w:sz w:val="26"/>
        </w:rPr>
        <w:t>3.1 Performance Summary</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val="clear" w:color="auto" w:fill="1F497D"/>
          </w:tcPr>
          <w:p>
            <w:pPr>
              <w:jc w:val="center"/>
            </w:pPr>
            <w:r/>
            <w:r>
              <w:rPr>
                <w:rFonts w:ascii="Calibri" w:hAnsi="Calibri"/>
                <w:b/>
                <w:color w:val="FFFFFF"/>
                <w:sz w:val="20"/>
              </w:rPr>
              <w:t>Model</w:t>
            </w:r>
          </w:p>
        </w:tc>
        <w:tc>
          <w:tcPr>
            <w:tcW w:type="dxa" w:w="2266"/>
            <w:shd w:val="clear" w:color="auto" w:fill="1F497D"/>
          </w:tcPr>
          <w:p>
            <w:pPr>
              <w:jc w:val="center"/>
            </w:pPr>
            <w:r/>
            <w:r>
              <w:rPr>
                <w:rFonts w:ascii="Calibri" w:hAnsi="Calibri"/>
                <w:b/>
                <w:color w:val="FFFFFF"/>
                <w:sz w:val="20"/>
              </w:rPr>
              <w:t>Accuracy</w:t>
            </w:r>
          </w:p>
        </w:tc>
        <w:tc>
          <w:tcPr>
            <w:tcW w:type="dxa" w:w="2266"/>
            <w:shd w:val="clear" w:color="auto" w:fill="1F497D"/>
          </w:tcPr>
          <w:p>
            <w:pPr>
              <w:jc w:val="center"/>
            </w:pPr>
            <w:r/>
            <w:r>
              <w:rPr>
                <w:rFonts w:ascii="Calibri" w:hAnsi="Calibri"/>
                <w:b/>
                <w:color w:val="FFFFFF"/>
                <w:sz w:val="20"/>
              </w:rPr>
              <w:t>F1 Score</w:t>
            </w:r>
          </w:p>
        </w:tc>
        <w:tc>
          <w:tcPr>
            <w:tcW w:type="dxa" w:w="2266"/>
            <w:shd w:val="clear" w:color="auto" w:fill="1F497D"/>
          </w:tcPr>
          <w:p>
            <w:pPr>
              <w:jc w:val="center"/>
            </w:pPr>
            <w:r/>
            <w:r>
              <w:rPr>
                <w:rFonts w:ascii="Calibri" w:hAnsi="Calibri"/>
                <w:b/>
                <w:color w:val="FFFFFF"/>
                <w:sz w:val="20"/>
              </w:rPr>
              <w:t>ROC-AUC</w:t>
            </w:r>
          </w:p>
        </w:tc>
      </w:tr>
      <w:tr>
        <w:tc>
          <w:tcPr>
            <w:tcW w:type="dxa" w:w="2266"/>
            <w:shd w:val="clear" w:color="auto" w:fill="F2F2F2"/>
          </w:tcPr>
          <w:p>
            <w:pPr>
              <w:jc w:val="center"/>
            </w:pPr>
            <w:r/>
            <w:r>
              <w:rPr>
                <w:rFonts w:ascii="Calibri" w:hAnsi="Calibri"/>
                <w:b/>
                <w:sz w:val="20"/>
              </w:rPr>
              <w:t>Random Forest</w:t>
            </w:r>
          </w:p>
        </w:tc>
        <w:tc>
          <w:tcPr>
            <w:tcW w:type="dxa" w:w="2266"/>
            <w:shd w:val="clear" w:color="auto" w:fill="F2F2F2"/>
          </w:tcPr>
          <w:p>
            <w:pPr>
              <w:jc w:val="center"/>
            </w:pPr>
            <w:r/>
            <w:r>
              <w:rPr>
                <w:rFonts w:ascii="Calibri" w:hAnsi="Calibri"/>
                <w:b/>
                <w:sz w:val="20"/>
              </w:rPr>
              <w:t>0.8431</w:t>
            </w:r>
          </w:p>
        </w:tc>
        <w:tc>
          <w:tcPr>
            <w:tcW w:type="dxa" w:w="2266"/>
            <w:shd w:val="clear" w:color="auto" w:fill="F2F2F2"/>
          </w:tcPr>
          <w:p>
            <w:pPr>
              <w:jc w:val="center"/>
            </w:pPr>
            <w:r/>
            <w:r>
              <w:rPr>
                <w:rFonts w:ascii="Calibri" w:hAnsi="Calibri"/>
                <w:b/>
                <w:sz w:val="20"/>
              </w:rPr>
              <w:t>0.8974</w:t>
            </w:r>
          </w:p>
        </w:tc>
        <w:tc>
          <w:tcPr>
            <w:tcW w:type="dxa" w:w="2266"/>
            <w:shd w:val="clear" w:color="auto" w:fill="F2F2F2"/>
          </w:tcPr>
          <w:p>
            <w:pPr>
              <w:jc w:val="center"/>
            </w:pPr>
            <w:r/>
            <w:r>
              <w:rPr>
                <w:rFonts w:ascii="Calibri" w:hAnsi="Calibri"/>
                <w:b/>
                <w:sz w:val="20"/>
              </w:rPr>
              <w:t>0.8156</w:t>
            </w:r>
          </w:p>
        </w:tc>
      </w:tr>
      <w:tr>
        <w:tc>
          <w:tcPr>
            <w:tcW w:type="dxa" w:w="2266"/>
            <w:shd w:val="clear" w:color="auto" w:fill="FFFFFF"/>
          </w:tcPr>
          <w:p>
            <w:pPr>
              <w:jc w:val="center"/>
            </w:pPr>
            <w:r/>
            <w:r>
              <w:rPr>
                <w:rFonts w:ascii="Calibri" w:hAnsi="Calibri"/>
                <w:sz w:val="20"/>
              </w:rPr>
              <w:t>Logistic Regression</w:t>
            </w:r>
          </w:p>
        </w:tc>
        <w:tc>
          <w:tcPr>
            <w:tcW w:type="dxa" w:w="2266"/>
            <w:shd w:val="clear" w:color="auto" w:fill="FFFFFF"/>
          </w:tcPr>
          <w:p>
            <w:pPr>
              <w:jc w:val="center"/>
            </w:pPr>
            <w:r/>
            <w:r>
              <w:rPr>
                <w:rFonts w:ascii="Calibri" w:hAnsi="Calibri"/>
                <w:sz w:val="20"/>
              </w:rPr>
              <w:t>0.8235</w:t>
            </w:r>
          </w:p>
        </w:tc>
        <w:tc>
          <w:tcPr>
            <w:tcW w:type="dxa" w:w="2266"/>
            <w:shd w:val="clear" w:color="auto" w:fill="FFFFFF"/>
          </w:tcPr>
          <w:p>
            <w:pPr>
              <w:jc w:val="center"/>
            </w:pPr>
            <w:r/>
            <w:r>
              <w:rPr>
                <w:rFonts w:ascii="Calibri" w:hAnsi="Calibri"/>
                <w:sz w:val="20"/>
              </w:rPr>
              <w:t>0.8767</w:t>
            </w:r>
          </w:p>
        </w:tc>
        <w:tc>
          <w:tcPr>
            <w:tcW w:type="dxa" w:w="2266"/>
            <w:shd w:val="clear" w:color="auto" w:fill="FFFFFF"/>
          </w:tcPr>
          <w:p>
            <w:pPr>
              <w:jc w:val="center"/>
            </w:pPr>
            <w:r/>
            <w:r>
              <w:rPr>
                <w:rFonts w:ascii="Calibri" w:hAnsi="Calibri"/>
                <w:sz w:val="20"/>
              </w:rPr>
              <w:t>0.7992</w:t>
            </w:r>
          </w:p>
        </w:tc>
      </w:tr>
      <w:tr>
        <w:tc>
          <w:tcPr>
            <w:tcW w:type="dxa" w:w="2266"/>
            <w:shd w:val="clear" w:color="auto" w:fill="F2F2F2"/>
          </w:tcPr>
          <w:p>
            <w:pPr>
              <w:jc w:val="center"/>
            </w:pPr>
            <w:r/>
            <w:r>
              <w:rPr>
                <w:rFonts w:ascii="Calibri" w:hAnsi="Calibri"/>
                <w:sz w:val="20"/>
              </w:rPr>
              <w:t>Xgboost</w:t>
            </w:r>
          </w:p>
        </w:tc>
        <w:tc>
          <w:tcPr>
            <w:tcW w:type="dxa" w:w="2266"/>
            <w:shd w:val="clear" w:color="auto" w:fill="F2F2F2"/>
          </w:tcPr>
          <w:p>
            <w:pPr>
              <w:jc w:val="center"/>
            </w:pPr>
            <w:r/>
            <w:r>
              <w:rPr>
                <w:rFonts w:ascii="Calibri" w:hAnsi="Calibri"/>
                <w:sz w:val="20"/>
              </w:rPr>
              <w:t>0.7451</w:t>
            </w:r>
          </w:p>
        </w:tc>
        <w:tc>
          <w:tcPr>
            <w:tcW w:type="dxa" w:w="2266"/>
            <w:shd w:val="clear" w:color="auto" w:fill="F2F2F2"/>
          </w:tcPr>
          <w:p>
            <w:pPr>
              <w:jc w:val="center"/>
            </w:pPr>
            <w:r/>
            <w:r>
              <w:rPr>
                <w:rFonts w:ascii="Calibri" w:hAnsi="Calibri"/>
                <w:sz w:val="20"/>
              </w:rPr>
              <w:t>0.8312</w:t>
            </w:r>
          </w:p>
        </w:tc>
        <w:tc>
          <w:tcPr>
            <w:tcW w:type="dxa" w:w="2266"/>
            <w:shd w:val="clear" w:color="auto" w:fill="F2F2F2"/>
          </w:tcPr>
          <w:p>
            <w:pPr>
              <w:jc w:val="center"/>
            </w:pPr>
            <w:r/>
            <w:r>
              <w:rPr>
                <w:rFonts w:ascii="Calibri" w:hAnsi="Calibri"/>
                <w:sz w:val="20"/>
              </w:rPr>
              <w:t>0.7857</w:t>
            </w:r>
          </w:p>
        </w:tc>
      </w:tr>
    </w:tbl>
    <w:p/>
    <w:p>
      <w:pPr>
        <w:spacing w:before="0" w:after="120"/>
        <w:jc w:val="both"/>
      </w:pPr>
      <w:r>
        <w:rPr>
          <w:rFonts w:ascii="Calibri" w:hAnsi="Calibri"/>
          <w:i/>
          <w:sz w:val="21"/>
        </w:rPr>
        <w:t>Bold row = best ROC-AUC. Run command: python src/evaluate.py --data_path dataset/parkinson_disease.csv</w:t>
      </w:r>
    </w:p>
    <w:p>
      <w:pPr>
        <w:jc w:val="center"/>
      </w:pPr>
      <w:r>
        <w:drawing>
          <wp:inline xmlns:a="http://schemas.openxmlformats.org/drawingml/2006/main" xmlns:pic="http://schemas.openxmlformats.org/drawingml/2006/picture">
            <wp:extent cx="5303520" cy="3278654"/>
            <wp:docPr id="3" name="Picture 3"/>
            <wp:cNvGraphicFramePr>
              <a:graphicFrameLocks noChangeAspect="1"/>
            </wp:cNvGraphicFramePr>
            <a:graphic>
              <a:graphicData uri="http://schemas.openxmlformats.org/drawingml/2006/picture">
                <pic:pic>
                  <pic:nvPicPr>
                    <pic:cNvPr id="0" name="model_comparison.png"/>
                    <pic:cNvPicPr/>
                  </pic:nvPicPr>
                  <pic:blipFill>
                    <a:blip r:embed="rId11"/>
                    <a:stretch>
                      <a:fillRect/>
                    </a:stretch>
                  </pic:blipFill>
                  <pic:spPr>
                    <a:xfrm>
                      <a:off x="0" y="0"/>
                      <a:ext cx="5303520" cy="3278654"/>
                    </a:xfrm>
                    <a:prstGeom prst="rect"/>
                  </pic:spPr>
                </pic:pic>
              </a:graphicData>
            </a:graphic>
          </wp:inline>
        </w:drawing>
      </w:r>
    </w:p>
    <w:p>
      <w:pPr>
        <w:spacing w:before="40" w:after="200"/>
        <w:jc w:val="center"/>
      </w:pPr>
      <w:r>
        <w:rPr>
          <w:i/>
          <w:color w:val="666666"/>
          <w:sz w:val="18"/>
        </w:rPr>
        <w:t>Figure 3 — Side-by-side comparison of Accuracy, F1, and ROC-AUC across all models</w:t>
      </w:r>
    </w:p>
    <w:p>
      <w:pPr>
        <w:pStyle w:val="Heading2"/>
        <w:spacing w:before="240" w:after="80"/>
        <w:jc w:val="left"/>
      </w:pPr>
      <w:r>
        <w:rPr>
          <w:color w:val="1F497D"/>
          <w:sz w:val="26"/>
        </w:rPr>
        <w:t>3.2 Classification Reports</w:t>
      </w:r>
    </w:p>
    <w:p>
      <w:pPr>
        <w:spacing w:before="0" w:after="120"/>
        <w:jc w:val="both"/>
      </w:pPr>
      <w:r>
        <w:rPr>
          <w:rFonts w:ascii="Calibri" w:hAnsi="Calibri"/>
          <w:sz w:val="21"/>
        </w:rPr>
        <w:t>Classification Report — Random Forest:</w:t>
      </w:r>
    </w:p>
    <w:p>
      <w:pPr>
        <w:pStyle w:val="NoSpacing"/>
      </w:pPr>
      <w:r>
        <w:rPr>
          <w:rFonts w:ascii="Courier New" w:hAnsi="Courier New"/>
          <w:sz w:val="17"/>
        </w:rPr>
        <w:t>precision    recall  f1-score   support</w:t>
      </w:r>
    </w:p>
    <w:p>
      <w:pPr>
        <w:pStyle w:val="NoSpacing"/>
      </w:pPr>
      <w:r>
        <w:rPr>
          <w:rFonts w:ascii="Courier New" w:hAnsi="Courier New"/>
          <w:sz w:val="17"/>
        </w:rPr>
        <w:t xml:space="preserve">     Healthy       0.80      0.57      0.67        14</w:t>
      </w:r>
    </w:p>
    <w:p>
      <w:pPr>
        <w:pStyle w:val="NoSpacing"/>
      </w:pPr>
      <w:r>
        <w:rPr>
          <w:rFonts w:ascii="Courier New" w:hAnsi="Courier New"/>
          <w:sz w:val="17"/>
        </w:rPr>
        <w:t xml:space="preserve">   Parkinson       0.85      0.95      0.90        37</w:t>
      </w:r>
    </w:p>
    <w:p>
      <w:pPr>
        <w:pStyle w:val="NoSpacing"/>
      </w:pPr>
      <w:r>
        <w:rPr>
          <w:rFonts w:ascii="Courier New" w:hAnsi="Courier New"/>
          <w:sz w:val="17"/>
        </w:rPr>
        <w:t xml:space="preserve">    accuracy                           0.84        51</w:t>
      </w:r>
    </w:p>
    <w:p>
      <w:pPr>
        <w:pStyle w:val="NoSpacing"/>
      </w:pPr>
      <w:r>
        <w:rPr>
          <w:rFonts w:ascii="Courier New" w:hAnsi="Courier New"/>
          <w:sz w:val="17"/>
        </w:rPr>
        <w:t xml:space="preserve">   macro avg       0.83      0.76      0.78        51</w:t>
      </w:r>
    </w:p>
    <w:p>
      <w:pPr>
        <w:pStyle w:val="NoSpacing"/>
      </w:pPr>
      <w:r>
        <w:rPr>
          <w:rFonts w:ascii="Courier New" w:hAnsi="Courier New"/>
          <w:sz w:val="17"/>
        </w:rPr>
        <w:t>weighted avg       0.84      0.84      0.83        51</w:t>
      </w:r>
    </w:p>
    <w:p/>
    <w:p>
      <w:pPr>
        <w:spacing w:before="0" w:after="120"/>
        <w:jc w:val="both"/>
      </w:pPr>
      <w:r>
        <w:rPr>
          <w:rFonts w:ascii="Calibri" w:hAnsi="Calibri"/>
          <w:sz w:val="21"/>
        </w:rPr>
        <w:t>Classification Report — Logistic Regression:</w:t>
      </w:r>
    </w:p>
    <w:p>
      <w:pPr>
        <w:pStyle w:val="NoSpacing"/>
      </w:pPr>
      <w:r>
        <w:rPr>
          <w:rFonts w:ascii="Courier New" w:hAnsi="Courier New"/>
          <w:sz w:val="17"/>
        </w:rPr>
        <w:t>precision    recall  f1-score   support</w:t>
      </w:r>
    </w:p>
    <w:p>
      <w:pPr>
        <w:pStyle w:val="NoSpacing"/>
      </w:pPr>
      <w:r>
        <w:rPr>
          <w:rFonts w:ascii="Courier New" w:hAnsi="Courier New"/>
          <w:sz w:val="17"/>
        </w:rPr>
        <w:t xml:space="preserve">     Healthy       0.67      0.71      0.69        14</w:t>
      </w:r>
    </w:p>
    <w:p>
      <w:pPr>
        <w:pStyle w:val="NoSpacing"/>
      </w:pPr>
      <w:r>
        <w:rPr>
          <w:rFonts w:ascii="Courier New" w:hAnsi="Courier New"/>
          <w:sz w:val="17"/>
        </w:rPr>
        <w:t xml:space="preserve">   Parkinson       0.89      0.86      0.88        37</w:t>
      </w:r>
    </w:p>
    <w:p>
      <w:pPr>
        <w:pStyle w:val="NoSpacing"/>
      </w:pPr>
      <w:r>
        <w:rPr>
          <w:rFonts w:ascii="Courier New" w:hAnsi="Courier New"/>
          <w:sz w:val="17"/>
        </w:rPr>
        <w:t xml:space="preserve">    accuracy                           0.82        51</w:t>
      </w:r>
    </w:p>
    <w:p>
      <w:pPr>
        <w:pStyle w:val="NoSpacing"/>
      </w:pPr>
      <w:r>
        <w:rPr>
          <w:rFonts w:ascii="Courier New" w:hAnsi="Courier New"/>
          <w:sz w:val="17"/>
        </w:rPr>
        <w:t xml:space="preserve">   macro avg       0.78      0.79      0.78        51</w:t>
      </w:r>
    </w:p>
    <w:p>
      <w:pPr>
        <w:pStyle w:val="NoSpacing"/>
      </w:pPr>
      <w:r>
        <w:rPr>
          <w:rFonts w:ascii="Courier New" w:hAnsi="Courier New"/>
          <w:sz w:val="17"/>
        </w:rPr>
        <w:t>weighted avg       0.83      0.82      0.83        51</w:t>
      </w:r>
    </w:p>
    <w:p/>
    <w:p>
      <w:pPr>
        <w:spacing w:before="0" w:after="120"/>
        <w:jc w:val="both"/>
      </w:pPr>
      <w:r>
        <w:rPr>
          <w:rFonts w:ascii="Calibri" w:hAnsi="Calibri"/>
          <w:sz w:val="21"/>
        </w:rPr>
        <w:t>Classification Report — Xgboost:</w:t>
      </w:r>
    </w:p>
    <w:p>
      <w:pPr>
        <w:pStyle w:val="NoSpacing"/>
      </w:pPr>
      <w:r>
        <w:rPr>
          <w:rFonts w:ascii="Courier New" w:hAnsi="Courier New"/>
          <w:sz w:val="17"/>
        </w:rPr>
        <w:t>precision    recall  f1-score   support</w:t>
      </w:r>
    </w:p>
    <w:p>
      <w:pPr>
        <w:pStyle w:val="NoSpacing"/>
      </w:pPr>
      <w:r>
        <w:rPr>
          <w:rFonts w:ascii="Courier New" w:hAnsi="Courier New"/>
          <w:sz w:val="17"/>
        </w:rPr>
        <w:t xml:space="preserve">     Healthy       0.55      0.43      0.48        14</w:t>
      </w:r>
    </w:p>
    <w:p>
      <w:pPr>
        <w:pStyle w:val="NoSpacing"/>
      </w:pPr>
      <w:r>
        <w:rPr>
          <w:rFonts w:ascii="Courier New" w:hAnsi="Courier New"/>
          <w:sz w:val="17"/>
        </w:rPr>
        <w:t xml:space="preserve">   Parkinson       0.80      0.86      0.83        37</w:t>
      </w:r>
    </w:p>
    <w:p>
      <w:pPr>
        <w:pStyle w:val="NoSpacing"/>
      </w:pPr>
      <w:r>
        <w:rPr>
          <w:rFonts w:ascii="Courier New" w:hAnsi="Courier New"/>
          <w:sz w:val="17"/>
        </w:rPr>
        <w:t xml:space="preserve">    accuracy                           0.75        51</w:t>
      </w:r>
    </w:p>
    <w:p>
      <w:pPr>
        <w:pStyle w:val="NoSpacing"/>
      </w:pPr>
      <w:r>
        <w:rPr>
          <w:rFonts w:ascii="Courier New" w:hAnsi="Courier New"/>
          <w:sz w:val="17"/>
        </w:rPr>
        <w:t xml:space="preserve">   macro avg       0.67      0.65      0.66        51</w:t>
      </w:r>
    </w:p>
    <w:p>
      <w:pPr>
        <w:pStyle w:val="NoSpacing"/>
      </w:pPr>
      <w:r>
        <w:rPr>
          <w:rFonts w:ascii="Courier New" w:hAnsi="Courier New"/>
          <w:sz w:val="17"/>
        </w:rPr>
        <w:t>weighted avg       0.73      0.75      0.73        51</w:t>
      </w:r>
    </w:p>
    <w:p/>
    <w:p>
      <w:pPr>
        <w:pStyle w:val="Heading2"/>
        <w:spacing w:before="240" w:after="80"/>
        <w:jc w:val="left"/>
      </w:pPr>
      <w:r>
        <w:rPr>
          <w:color w:val="1F497D"/>
          <w:sz w:val="26"/>
        </w:rPr>
        <w:t>3.3 Confusion Matrices</w:t>
      </w:r>
    </w:p>
    <w:p>
      <w:pPr>
        <w:spacing w:before="0" w:after="120"/>
        <w:jc w:val="both"/>
      </w:pPr>
      <w:r>
        <w:rPr>
          <w:rFonts w:ascii="Calibri" w:hAnsi="Calibri"/>
          <w:sz w:val="21"/>
        </w:rPr>
        <w:t>Confusion matrices show the breakdown of True Positives (Parkinson correctly identified), True Negatives (Healthy correctly identified), False Positives (Healthy misclassified as Parkinson), and False Negatives (Parkinson missed — the most critical clinical error).</w:t>
      </w:r>
    </w:p>
    <w:p>
      <w:pPr>
        <w:jc w:val="center"/>
      </w:pPr>
      <w:r>
        <w:drawing>
          <wp:inline xmlns:a="http://schemas.openxmlformats.org/drawingml/2006/main" xmlns:pic="http://schemas.openxmlformats.org/drawingml/2006/picture">
            <wp:extent cx="3200400" cy="2966408"/>
            <wp:docPr id="4" name="Picture 4"/>
            <wp:cNvGraphicFramePr>
              <a:graphicFrameLocks noChangeAspect="1"/>
            </wp:cNvGraphicFramePr>
            <a:graphic>
              <a:graphicData uri="http://schemas.openxmlformats.org/drawingml/2006/picture">
                <pic:pic>
                  <pic:nvPicPr>
                    <pic:cNvPr id="0" name="confusion_matrix_random_forest.png"/>
                    <pic:cNvPicPr/>
                  </pic:nvPicPr>
                  <pic:blipFill>
                    <a:blip r:embed="rId12"/>
                    <a:stretch>
                      <a:fillRect/>
                    </a:stretch>
                  </pic:blipFill>
                  <pic:spPr>
                    <a:xfrm>
                      <a:off x="0" y="0"/>
                      <a:ext cx="3200400" cy="2966408"/>
                    </a:xfrm>
                    <a:prstGeom prst="rect"/>
                  </pic:spPr>
                </pic:pic>
              </a:graphicData>
            </a:graphic>
          </wp:inline>
        </w:drawing>
      </w:r>
    </w:p>
    <w:p>
      <w:pPr>
        <w:spacing w:before="40" w:after="200"/>
        <w:jc w:val="center"/>
      </w:pPr>
      <w:r>
        <w:rPr>
          <w:i/>
          <w:color w:val="666666"/>
          <w:sz w:val="18"/>
        </w:rPr>
        <w:t>Figure — Confusion Matrix: Random Forest</w:t>
      </w:r>
    </w:p>
    <w:p>
      <w:pPr>
        <w:jc w:val="center"/>
      </w:pPr>
      <w:r>
        <w:drawing>
          <wp:inline xmlns:a="http://schemas.openxmlformats.org/drawingml/2006/main" xmlns:pic="http://schemas.openxmlformats.org/drawingml/2006/picture">
            <wp:extent cx="3200400" cy="2918231"/>
            <wp:docPr id="5" name="Picture 5"/>
            <wp:cNvGraphicFramePr>
              <a:graphicFrameLocks noChangeAspect="1"/>
            </wp:cNvGraphicFramePr>
            <a:graphic>
              <a:graphicData uri="http://schemas.openxmlformats.org/drawingml/2006/picture">
                <pic:pic>
                  <pic:nvPicPr>
                    <pic:cNvPr id="0" name="confusion_matrix_logistic_regression.png"/>
                    <pic:cNvPicPr/>
                  </pic:nvPicPr>
                  <pic:blipFill>
                    <a:blip r:embed="rId13"/>
                    <a:stretch>
                      <a:fillRect/>
                    </a:stretch>
                  </pic:blipFill>
                  <pic:spPr>
                    <a:xfrm>
                      <a:off x="0" y="0"/>
                      <a:ext cx="3200400" cy="2918231"/>
                    </a:xfrm>
                    <a:prstGeom prst="rect"/>
                  </pic:spPr>
                </pic:pic>
              </a:graphicData>
            </a:graphic>
          </wp:inline>
        </w:drawing>
      </w:r>
    </w:p>
    <w:p>
      <w:pPr>
        <w:spacing w:before="40" w:after="200"/>
        <w:jc w:val="center"/>
      </w:pPr>
      <w:r>
        <w:rPr>
          <w:i/>
          <w:color w:val="666666"/>
          <w:sz w:val="18"/>
        </w:rPr>
        <w:t>Figure — Confusion Matrix: Logistic Regression</w:t>
      </w:r>
    </w:p>
    <w:p>
      <w:pPr>
        <w:jc w:val="center"/>
      </w:pPr>
      <w:r>
        <w:drawing>
          <wp:inline xmlns:a="http://schemas.openxmlformats.org/drawingml/2006/main" xmlns:pic="http://schemas.openxmlformats.org/drawingml/2006/picture">
            <wp:extent cx="3200400" cy="2966408"/>
            <wp:docPr id="6" name="Picture 6"/>
            <wp:cNvGraphicFramePr>
              <a:graphicFrameLocks noChangeAspect="1"/>
            </wp:cNvGraphicFramePr>
            <a:graphic>
              <a:graphicData uri="http://schemas.openxmlformats.org/drawingml/2006/picture">
                <pic:pic>
                  <pic:nvPicPr>
                    <pic:cNvPr id="0" name="confusion_matrix_xgboost.png"/>
                    <pic:cNvPicPr/>
                  </pic:nvPicPr>
                  <pic:blipFill>
                    <a:blip r:embed="rId14"/>
                    <a:stretch>
                      <a:fillRect/>
                    </a:stretch>
                  </pic:blipFill>
                  <pic:spPr>
                    <a:xfrm>
                      <a:off x="0" y="0"/>
                      <a:ext cx="3200400" cy="2966408"/>
                    </a:xfrm>
                    <a:prstGeom prst="rect"/>
                  </pic:spPr>
                </pic:pic>
              </a:graphicData>
            </a:graphic>
          </wp:inline>
        </w:drawing>
      </w:r>
    </w:p>
    <w:p>
      <w:pPr>
        <w:spacing w:before="40" w:after="200"/>
        <w:jc w:val="center"/>
      </w:pPr>
      <w:r>
        <w:rPr>
          <w:i/>
          <w:color w:val="666666"/>
          <w:sz w:val="18"/>
        </w:rPr>
        <w:t>Figure — Confusion Matrix: Xgboost</w:t>
      </w:r>
    </w:p>
    <w:p>
      <w:r>
        <w:br w:type="page"/>
      </w:r>
    </w:p>
    <w:p>
      <w:pPr>
        <w:pStyle w:val="Heading1"/>
        <w:spacing w:before="240" w:after="80"/>
        <w:jc w:val="left"/>
      </w:pPr>
      <w:r>
        <w:rPr>
          <w:b/>
          <w:color w:val="1F497D"/>
          <w:sz w:val="32"/>
        </w:rPr>
        <w:t>4. Feature Importance Analysis</w:t>
      </w:r>
    </w:p>
    <w:p>
      <w:pPr>
        <w:pBdr>
          <w:bottom w:val="single" w:sz="6" w:space="1" w:color="1F497D"/>
        </w:pBdr>
        <w:spacing w:before="80" w:after="80"/>
      </w:pPr>
    </w:p>
    <w:p>
      <w:pPr>
        <w:spacing w:before="0" w:after="120"/>
        <w:jc w:val="both"/>
      </w:pPr>
      <w:r>
        <w:rPr>
          <w:rFonts w:ascii="Calibri" w:hAnsi="Calibri"/>
          <w:sz w:val="21"/>
        </w:rPr>
        <w:t>Feature importance quantifies each acoustic feature's contribution to the model's predictions. For Logistic Regression, the absolute magnitude of learned coefficients is used. For Random Forest and XGBoost, mean Gini impurity decrease across all trees is used. High-importance features identify which vocal biomarkers are most predictive of Parkinson's disease.</w:t>
      </w:r>
    </w:p>
    <w:p>
      <w:pPr>
        <w:pStyle w:val="Heading2"/>
        <w:spacing w:before="240" w:after="80"/>
        <w:jc w:val="left"/>
      </w:pPr>
      <w:r>
        <w:rPr>
          <w:color w:val="1F497D"/>
          <w:sz w:val="26"/>
        </w:rPr>
        <w:t>Random Forest</w:t>
      </w:r>
    </w:p>
    <w:p>
      <w:pPr>
        <w:jc w:val="center"/>
      </w:pPr>
      <w:r>
        <w:drawing>
          <wp:inline xmlns:a="http://schemas.openxmlformats.org/drawingml/2006/main" xmlns:pic="http://schemas.openxmlformats.org/drawingml/2006/picture">
            <wp:extent cx="5029200" cy="2670847"/>
            <wp:docPr id="7" name="Picture 7"/>
            <wp:cNvGraphicFramePr>
              <a:graphicFrameLocks noChangeAspect="1"/>
            </wp:cNvGraphicFramePr>
            <a:graphic>
              <a:graphicData uri="http://schemas.openxmlformats.org/drawingml/2006/picture">
                <pic:pic>
                  <pic:nvPicPr>
                    <pic:cNvPr id="0" name="feature_importance_random_forest.png"/>
                    <pic:cNvPicPr/>
                  </pic:nvPicPr>
                  <pic:blipFill>
                    <a:blip r:embed="rId15"/>
                    <a:stretch>
                      <a:fillRect/>
                    </a:stretch>
                  </pic:blipFill>
                  <pic:spPr>
                    <a:xfrm>
                      <a:off x="0" y="0"/>
                      <a:ext cx="5029200" cy="2670847"/>
                    </a:xfrm>
                    <a:prstGeom prst="rect"/>
                  </pic:spPr>
                </pic:pic>
              </a:graphicData>
            </a:graphic>
          </wp:inline>
        </w:drawing>
      </w:r>
    </w:p>
    <w:p>
      <w:pPr>
        <w:spacing w:before="40" w:after="200"/>
        <w:jc w:val="center"/>
      </w:pPr>
      <w:r>
        <w:rPr>
          <w:i/>
          <w:color w:val="666666"/>
          <w:sz w:val="18"/>
        </w:rPr>
        <w:t>Figure — Top-20 Feature Importances: Random Forest</w:t>
      </w:r>
    </w:p>
    <w:p>
      <w:pPr>
        <w:pStyle w:val="Heading2"/>
        <w:spacing w:before="240" w:after="80"/>
        <w:jc w:val="left"/>
      </w:pPr>
      <w:r>
        <w:rPr>
          <w:color w:val="1F497D"/>
          <w:sz w:val="26"/>
        </w:rPr>
        <w:t>Logistic Regression</w:t>
      </w:r>
    </w:p>
    <w:p>
      <w:pPr>
        <w:jc w:val="center"/>
      </w:pPr>
      <w:r>
        <w:drawing>
          <wp:inline xmlns:a="http://schemas.openxmlformats.org/drawingml/2006/main" xmlns:pic="http://schemas.openxmlformats.org/drawingml/2006/picture">
            <wp:extent cx="5029200" cy="2657944"/>
            <wp:docPr id="8" name="Picture 8"/>
            <wp:cNvGraphicFramePr>
              <a:graphicFrameLocks noChangeAspect="1"/>
            </wp:cNvGraphicFramePr>
            <a:graphic>
              <a:graphicData uri="http://schemas.openxmlformats.org/drawingml/2006/picture">
                <pic:pic>
                  <pic:nvPicPr>
                    <pic:cNvPr id="0" name="feature_importance_logistic_regression.png"/>
                    <pic:cNvPicPr/>
                  </pic:nvPicPr>
                  <pic:blipFill>
                    <a:blip r:embed="rId16"/>
                    <a:stretch>
                      <a:fillRect/>
                    </a:stretch>
                  </pic:blipFill>
                  <pic:spPr>
                    <a:xfrm>
                      <a:off x="0" y="0"/>
                      <a:ext cx="5029200" cy="2657944"/>
                    </a:xfrm>
                    <a:prstGeom prst="rect"/>
                  </pic:spPr>
                </pic:pic>
              </a:graphicData>
            </a:graphic>
          </wp:inline>
        </w:drawing>
      </w:r>
    </w:p>
    <w:p>
      <w:pPr>
        <w:spacing w:before="40" w:after="200"/>
        <w:jc w:val="center"/>
      </w:pPr>
      <w:r>
        <w:rPr>
          <w:i/>
          <w:color w:val="666666"/>
          <w:sz w:val="18"/>
        </w:rPr>
        <w:t>Figure — Top-20 Feature Importances: Logistic Regression</w:t>
      </w:r>
    </w:p>
    <w:p>
      <w:pPr>
        <w:pStyle w:val="Heading2"/>
        <w:spacing w:before="240" w:after="80"/>
        <w:jc w:val="left"/>
      </w:pPr>
      <w:r>
        <w:rPr>
          <w:color w:val="1F497D"/>
          <w:sz w:val="26"/>
        </w:rPr>
        <w:t>Xgboost</w:t>
      </w:r>
    </w:p>
    <w:p>
      <w:pPr>
        <w:jc w:val="center"/>
      </w:pPr>
      <w:r>
        <w:drawing>
          <wp:inline xmlns:a="http://schemas.openxmlformats.org/drawingml/2006/main" xmlns:pic="http://schemas.openxmlformats.org/drawingml/2006/picture">
            <wp:extent cx="5029200" cy="2699679"/>
            <wp:docPr id="9" name="Picture 9"/>
            <wp:cNvGraphicFramePr>
              <a:graphicFrameLocks noChangeAspect="1"/>
            </wp:cNvGraphicFramePr>
            <a:graphic>
              <a:graphicData uri="http://schemas.openxmlformats.org/drawingml/2006/picture">
                <pic:pic>
                  <pic:nvPicPr>
                    <pic:cNvPr id="0" name="feature_importance_xgboost.png"/>
                    <pic:cNvPicPr/>
                  </pic:nvPicPr>
                  <pic:blipFill>
                    <a:blip r:embed="rId17"/>
                    <a:stretch>
                      <a:fillRect/>
                    </a:stretch>
                  </pic:blipFill>
                  <pic:spPr>
                    <a:xfrm>
                      <a:off x="0" y="0"/>
                      <a:ext cx="5029200" cy="2699679"/>
                    </a:xfrm>
                    <a:prstGeom prst="rect"/>
                  </pic:spPr>
                </pic:pic>
              </a:graphicData>
            </a:graphic>
          </wp:inline>
        </w:drawing>
      </w:r>
    </w:p>
    <w:p>
      <w:pPr>
        <w:spacing w:before="40" w:after="200"/>
        <w:jc w:val="center"/>
      </w:pPr>
      <w:r>
        <w:rPr>
          <w:i/>
          <w:color w:val="666666"/>
          <w:sz w:val="18"/>
        </w:rPr>
        <w:t>Figure — Top-20 Feature Importances: Xgboost</w:t>
      </w:r>
    </w:p>
    <w:p>
      <w:r>
        <w:br w:type="page"/>
      </w:r>
    </w:p>
    <w:p>
      <w:pPr>
        <w:pStyle w:val="Heading1"/>
        <w:spacing w:before="240" w:after="80"/>
        <w:jc w:val="left"/>
      </w:pPr>
      <w:r>
        <w:rPr>
          <w:b/>
          <w:color w:val="1F497D"/>
          <w:sz w:val="32"/>
        </w:rPr>
        <w:t>5. SHAP Explainability</w:t>
      </w:r>
    </w:p>
    <w:p>
      <w:pPr>
        <w:pBdr>
          <w:bottom w:val="single" w:sz="6" w:space="1" w:color="1F497D"/>
        </w:pBdr>
        <w:spacing w:before="80" w:after="80"/>
      </w:pPr>
    </w:p>
    <w:p>
      <w:pPr>
        <w:spacing w:before="0" w:after="120"/>
        <w:jc w:val="both"/>
      </w:pPr>
      <w:r>
        <w:rPr>
          <w:rFonts w:ascii="Calibri" w:hAnsi="Calibri"/>
          <w:sz w:val="21"/>
        </w:rPr>
        <w:t>SHAP (SHapley Additive exPlanations) provides theoretically grounded, per-prediction explanations. Each feature is assigned a SHAP value representing its additive contribution to the model output relative to the base (expected) prediction.</w:t>
      </w:r>
    </w:p>
    <w:p>
      <w:pPr>
        <w:pStyle w:val="ListBullet"/>
        <w:spacing w:before="0" w:after="60"/>
      </w:pPr>
      <w:r>
        <w:rPr>
          <w:rFonts w:ascii="Calibri" w:hAnsi="Calibri"/>
          <w:sz w:val="21"/>
        </w:rPr>
        <w:t>Positive SHAP value → feature pushes prediction toward Parkinson's (class 1)</w:t>
      </w:r>
    </w:p>
    <w:p>
      <w:pPr>
        <w:pStyle w:val="ListBullet"/>
        <w:spacing w:before="0" w:after="60"/>
      </w:pPr>
      <w:r>
        <w:rPr>
          <w:rFonts w:ascii="Calibri" w:hAnsi="Calibri"/>
          <w:sz w:val="21"/>
        </w:rPr>
        <w:t>Negative SHAP value → feature pushes prediction toward Healthy (class 0)</w:t>
      </w:r>
    </w:p>
    <w:p>
      <w:pPr>
        <w:pStyle w:val="ListBullet"/>
        <w:spacing w:before="0" w:after="60"/>
      </w:pPr>
      <w:r>
        <w:rPr>
          <w:rFonts w:ascii="Calibri" w:hAnsi="Calibri"/>
          <w:sz w:val="21"/>
        </w:rPr>
        <w:t>Red dots = high feature value;  Blue dots = low feature value</w:t>
      </w:r>
    </w:p>
    <w:p>
      <w:pPr>
        <w:pStyle w:val="ListBullet"/>
        <w:spacing w:before="0" w:after="60"/>
      </w:pPr>
      <w:r>
        <w:rPr>
          <w:rFonts w:ascii="Calibri" w:hAnsi="Calibri"/>
          <w:sz w:val="21"/>
        </w:rPr>
        <w:t>Tree models use TreeExplainer (exact); linear/kernel models use KernelExplainer (sampled)</w:t>
      </w:r>
    </w:p>
    <w:p/>
    <w:p>
      <w:pPr>
        <w:pStyle w:val="Heading2"/>
        <w:spacing w:before="240" w:after="80"/>
        <w:jc w:val="left"/>
      </w:pPr>
      <w:r>
        <w:rPr>
          <w:color w:val="1F497D"/>
          <w:sz w:val="26"/>
        </w:rPr>
        <w:t>Random Forest</w:t>
      </w:r>
    </w:p>
    <w:p>
      <w:pPr>
        <w:jc w:val="center"/>
      </w:pPr>
      <w:r>
        <w:drawing>
          <wp:inline xmlns:a="http://schemas.openxmlformats.org/drawingml/2006/main" xmlns:pic="http://schemas.openxmlformats.org/drawingml/2006/picture">
            <wp:extent cx="5029200" cy="5533748"/>
            <wp:docPr id="10" name="Picture 10"/>
            <wp:cNvGraphicFramePr>
              <a:graphicFrameLocks noChangeAspect="1"/>
            </wp:cNvGraphicFramePr>
            <a:graphic>
              <a:graphicData uri="http://schemas.openxmlformats.org/drawingml/2006/picture">
                <pic:pic>
                  <pic:nvPicPr>
                    <pic:cNvPr id="0" name="shap_summary_random_forest.png"/>
                    <pic:cNvPicPr/>
                  </pic:nvPicPr>
                  <pic:blipFill>
                    <a:blip r:embed="rId18"/>
                    <a:stretch>
                      <a:fillRect/>
                    </a:stretch>
                  </pic:blipFill>
                  <pic:spPr>
                    <a:xfrm>
                      <a:off x="0" y="0"/>
                      <a:ext cx="5029200" cy="5533748"/>
                    </a:xfrm>
                    <a:prstGeom prst="rect"/>
                  </pic:spPr>
                </pic:pic>
              </a:graphicData>
            </a:graphic>
          </wp:inline>
        </w:drawing>
      </w:r>
    </w:p>
    <w:p>
      <w:pPr>
        <w:spacing w:before="40" w:after="200"/>
        <w:jc w:val="center"/>
      </w:pPr>
      <w:r>
        <w:rPr>
          <w:i/>
          <w:color w:val="666666"/>
          <w:sz w:val="18"/>
        </w:rPr>
        <w:t>Figure — SHAP Beeswarm Plot: Random Forest</w:t>
      </w:r>
    </w:p>
    <w:p>
      <w:pPr>
        <w:pStyle w:val="Heading2"/>
        <w:spacing w:before="240" w:after="80"/>
        <w:jc w:val="left"/>
      </w:pPr>
      <w:r>
        <w:rPr>
          <w:color w:val="1F497D"/>
          <w:sz w:val="26"/>
        </w:rPr>
        <w:t>Logistic Regression</w:t>
      </w:r>
    </w:p>
    <w:p>
      <w:pPr>
        <w:jc w:val="center"/>
      </w:pPr>
      <w:r>
        <w:drawing>
          <wp:inline xmlns:a="http://schemas.openxmlformats.org/drawingml/2006/main" xmlns:pic="http://schemas.openxmlformats.org/drawingml/2006/picture">
            <wp:extent cx="5029200" cy="5385600"/>
            <wp:docPr id="11" name="Picture 11"/>
            <wp:cNvGraphicFramePr>
              <a:graphicFrameLocks noChangeAspect="1"/>
            </wp:cNvGraphicFramePr>
            <a:graphic>
              <a:graphicData uri="http://schemas.openxmlformats.org/drawingml/2006/picture">
                <pic:pic>
                  <pic:nvPicPr>
                    <pic:cNvPr id="0" name="shap_summary_logistic_regression.png"/>
                    <pic:cNvPicPr/>
                  </pic:nvPicPr>
                  <pic:blipFill>
                    <a:blip r:embed="rId19"/>
                    <a:stretch>
                      <a:fillRect/>
                    </a:stretch>
                  </pic:blipFill>
                  <pic:spPr>
                    <a:xfrm>
                      <a:off x="0" y="0"/>
                      <a:ext cx="5029200" cy="5385600"/>
                    </a:xfrm>
                    <a:prstGeom prst="rect"/>
                  </pic:spPr>
                </pic:pic>
              </a:graphicData>
            </a:graphic>
          </wp:inline>
        </w:drawing>
      </w:r>
    </w:p>
    <w:p>
      <w:pPr>
        <w:spacing w:before="40" w:after="200"/>
        <w:jc w:val="center"/>
      </w:pPr>
      <w:r>
        <w:rPr>
          <w:i/>
          <w:color w:val="666666"/>
          <w:sz w:val="18"/>
        </w:rPr>
        <w:t>Figure — SHAP Beeswarm Plot: Logistic Regression</w:t>
      </w:r>
    </w:p>
    <w:p>
      <w:pPr>
        <w:pStyle w:val="Heading2"/>
        <w:spacing w:before="240" w:after="80"/>
        <w:jc w:val="left"/>
      </w:pPr>
      <w:r>
        <w:rPr>
          <w:color w:val="1F497D"/>
          <w:sz w:val="26"/>
        </w:rPr>
        <w:t>Xgboost</w:t>
      </w:r>
    </w:p>
    <w:p>
      <w:pPr>
        <w:jc w:val="center"/>
      </w:pPr>
      <w:r>
        <w:drawing>
          <wp:inline xmlns:a="http://schemas.openxmlformats.org/drawingml/2006/main" xmlns:pic="http://schemas.openxmlformats.org/drawingml/2006/picture">
            <wp:extent cx="5029200" cy="5786558"/>
            <wp:docPr id="12" name="Picture 12"/>
            <wp:cNvGraphicFramePr>
              <a:graphicFrameLocks noChangeAspect="1"/>
            </wp:cNvGraphicFramePr>
            <a:graphic>
              <a:graphicData uri="http://schemas.openxmlformats.org/drawingml/2006/picture">
                <pic:pic>
                  <pic:nvPicPr>
                    <pic:cNvPr id="0" name="shap_summary_xgboost.png"/>
                    <pic:cNvPicPr/>
                  </pic:nvPicPr>
                  <pic:blipFill>
                    <a:blip r:embed="rId20"/>
                    <a:stretch>
                      <a:fillRect/>
                    </a:stretch>
                  </pic:blipFill>
                  <pic:spPr>
                    <a:xfrm>
                      <a:off x="0" y="0"/>
                      <a:ext cx="5029200" cy="5786558"/>
                    </a:xfrm>
                    <a:prstGeom prst="rect"/>
                  </pic:spPr>
                </pic:pic>
              </a:graphicData>
            </a:graphic>
          </wp:inline>
        </w:drawing>
      </w:r>
    </w:p>
    <w:p>
      <w:pPr>
        <w:spacing w:before="40" w:after="200"/>
        <w:jc w:val="center"/>
      </w:pPr>
      <w:r>
        <w:rPr>
          <w:i/>
          <w:color w:val="666666"/>
          <w:sz w:val="18"/>
        </w:rPr>
        <w:t>Figure — SHAP Beeswarm Plot: Xgboost</w:t>
      </w:r>
    </w:p>
    <w:p>
      <w:r>
        <w:br w:type="page"/>
      </w:r>
    </w:p>
    <w:p>
      <w:pPr>
        <w:pStyle w:val="Heading1"/>
        <w:spacing w:before="240" w:after="80"/>
        <w:jc w:val="left"/>
      </w:pPr>
      <w:r>
        <w:rPr>
          <w:b/>
          <w:color w:val="1F497D"/>
          <w:sz w:val="32"/>
        </w:rPr>
        <w:t>6. API Usage — Running &amp; Swagger</w:t>
      </w:r>
    </w:p>
    <w:p>
      <w:pPr>
        <w:pBdr>
          <w:bottom w:val="single" w:sz="6" w:space="1" w:color="1F497D"/>
        </w:pBdr>
        <w:spacing w:before="80" w:after="80"/>
      </w:pPr>
    </w:p>
    <w:p>
      <w:pPr>
        <w:spacing w:before="0" w:after="120"/>
        <w:jc w:val="both"/>
      </w:pPr>
      <w:r>
        <w:rPr>
          <w:rFonts w:ascii="Calibri" w:hAnsi="Calibri"/>
          <w:sz w:val="21"/>
        </w:rPr>
        <w:t>The trained models are served via a FastAPI REST API. The API loads the best model artefacts from outputs/models/ and exposes prediction, feature listing, and model listing endpoints. An interactive Swagger UI is auto-generated at /docs.</w:t>
      </w:r>
    </w:p>
    <w:p>
      <w:pPr>
        <w:pStyle w:val="Heading2"/>
        <w:spacing w:before="240" w:after="80"/>
        <w:jc w:val="left"/>
      </w:pPr>
      <w:r>
        <w:rPr>
          <w:color w:val="1F497D"/>
          <w:sz w:val="26"/>
        </w:rPr>
        <w:t>6.1 Start the API Server</w:t>
      </w:r>
    </w:p>
    <w:p>
      <w:pPr>
        <w:spacing w:before="0" w:after="120"/>
        <w:jc w:val="both"/>
      </w:pPr>
      <w:r>
        <w:rPr>
          <w:rFonts w:ascii="Calibri" w:hAnsi="Calibri"/>
          <w:sz w:val="21"/>
        </w:rPr>
        <w:t>Step 1 — Activate the virtual environment:</w:t>
      </w:r>
    </w:p>
    <w:p>
      <w:pPr>
        <w:shd w:val="clear" w:color="auto" w:fill="F2F2F2"/>
        <w:spacing w:before="80" w:after="80"/>
      </w:pPr>
      <w:r>
        <w:rPr>
          <w:rFonts w:ascii="Courier New" w:hAnsi="Courier New"/>
          <w:sz w:val="18"/>
        </w:rPr>
        <w:t>source venv/bin/activate</w:t>
      </w:r>
    </w:p>
    <w:p>
      <w:pPr>
        <w:spacing w:before="0" w:after="120"/>
        <w:jc w:val="both"/>
      </w:pPr>
      <w:r>
        <w:rPr>
          <w:rFonts w:ascii="Calibri" w:hAnsi="Calibri"/>
          <w:sz w:val="21"/>
        </w:rPr>
        <w:t>Step 2 — Start the server:</w:t>
      </w:r>
    </w:p>
    <w:p>
      <w:pPr>
        <w:shd w:val="clear" w:color="auto" w:fill="F2F2F2"/>
        <w:spacing w:before="80" w:after="80"/>
      </w:pPr>
      <w:r>
        <w:rPr>
          <w:rFonts w:ascii="Courier New" w:hAnsi="Courier New"/>
          <w:sz w:val="18"/>
        </w:rPr>
        <w:t>uvicorn app.main:app --reload --port 8000</w:t>
      </w:r>
    </w:p>
    <w:p>
      <w:pPr>
        <w:spacing w:before="0" w:after="120"/>
        <w:jc w:val="both"/>
      </w:pPr>
      <w:r>
        <w:rPr>
          <w:rFonts w:ascii="Calibri" w:hAnsi="Calibri"/>
          <w:sz w:val="21"/>
        </w:rPr>
        <w:t>Step 3 — Confirm the server is running. You should see:</w:t>
      </w:r>
    </w:p>
    <w:p>
      <w:pPr>
        <w:shd w:val="clear" w:color="auto" w:fill="F2F2F2"/>
        <w:spacing w:before="80" w:after="80"/>
      </w:pPr>
      <w:r>
        <w:rPr>
          <w:rFonts w:ascii="Courier New" w:hAnsi="Courier New"/>
          <w:sz w:val="18"/>
        </w:rPr>
        <w:t>INFO:     Uvicorn running on http://127.0.0.1:8000 (Press CTRL+C to quit)</w:t>
        <w:br/>
        <w:t>INFO:     Application startup complete.</w:t>
      </w:r>
    </w:p>
    <w:p>
      <w:pPr>
        <w:pStyle w:val="Heading2"/>
        <w:spacing w:before="240" w:after="80"/>
        <w:jc w:val="left"/>
      </w:pPr>
      <w:r>
        <w:rPr>
          <w:color w:val="1F497D"/>
          <w:sz w:val="26"/>
        </w:rPr>
        <w:t>6.2 Open Swagger UI</w:t>
      </w:r>
    </w:p>
    <w:p>
      <w:pPr>
        <w:spacing w:before="0" w:after="120"/>
        <w:jc w:val="both"/>
      </w:pPr>
      <w:r>
        <w:rPr>
          <w:rFonts w:ascii="Calibri" w:hAnsi="Calibri"/>
          <w:sz w:val="21"/>
        </w:rPr>
        <w:t>Step 4 — Open your browser and navigate to:</w:t>
      </w:r>
    </w:p>
    <w:p>
      <w:pPr>
        <w:shd w:val="clear" w:color="auto" w:fill="F2F2F2"/>
        <w:spacing w:before="80" w:after="80"/>
      </w:pPr>
      <w:r>
        <w:rPr>
          <w:rFonts w:ascii="Courier New" w:hAnsi="Courier New"/>
          <w:sz w:val="18"/>
        </w:rPr>
        <w:t>http://localhost:8000/docs</w:t>
      </w:r>
    </w:p>
    <w:p>
      <w:pPr>
        <w:pStyle w:val="ListBullet"/>
        <w:spacing w:before="0" w:after="60"/>
      </w:pPr>
      <w:r>
        <w:rPr>
          <w:rFonts w:ascii="Calibri" w:hAnsi="Calibri"/>
          <w:sz w:val="21"/>
        </w:rPr>
        <w:t>The Swagger UI lists all available endpoints with request/response schemas</w:t>
      </w:r>
    </w:p>
    <w:p>
      <w:pPr>
        <w:pStyle w:val="ListBullet"/>
        <w:spacing w:before="0" w:after="60"/>
      </w:pPr>
      <w:r>
        <w:rPr>
          <w:rFonts w:ascii="Calibri" w:hAnsi="Calibri"/>
          <w:sz w:val="21"/>
        </w:rPr>
        <w:t>Click POST /predict → click 'Try it out'</w:t>
      </w:r>
    </w:p>
    <w:p>
      <w:pPr>
        <w:pStyle w:val="ListBullet"/>
        <w:spacing w:before="0" w:after="60"/>
      </w:pPr>
      <w:r>
        <w:rPr>
          <w:rFonts w:ascii="Calibri" w:hAnsi="Calibri"/>
          <w:sz w:val="21"/>
        </w:rPr>
        <w:t>The example JSON is pre-filled — click 'Execute' to run a prediction</w:t>
      </w:r>
    </w:p>
    <w:p>
      <w:pPr>
        <w:pStyle w:val="ListBullet"/>
        <w:spacing w:before="0" w:after="60"/>
      </w:pPr>
      <w:r>
        <w:rPr>
          <w:rFonts w:ascii="Calibri" w:hAnsi="Calibri"/>
          <w:sz w:val="21"/>
        </w:rPr>
        <w:t>The response shows: prediction (0/1), label (Healthy/Parkinson), and probabilities</w:t>
      </w:r>
    </w:p>
    <w:p/>
    <w:p>
      <w:pPr>
        <w:pStyle w:val="Heading2"/>
        <w:spacing w:before="240" w:after="80"/>
        <w:jc w:val="left"/>
      </w:pPr>
      <w:r>
        <w:rPr>
          <w:color w:val="1F497D"/>
          <w:sz w:val="26"/>
        </w:rPr>
        <w:t>6.3 Available Endpoints</w:t>
      </w:r>
    </w:p>
    <w:tbl>
      <w:tblPr>
        <w:tblStyle w:val="TableGrid"/>
        <w:tblW w:type="auto" w:w="0"/>
        <w:tblLook w:firstColumn="1" w:firstRow="1" w:lastColumn="0" w:lastRow="0" w:noHBand="0" w:noVBand="1" w:val="04A0"/>
      </w:tblPr>
      <w:tblGrid>
        <w:gridCol w:w="3022"/>
        <w:gridCol w:w="3022"/>
        <w:gridCol w:w="3022"/>
      </w:tblGrid>
      <w:tr>
        <w:tc>
          <w:tcPr>
            <w:tcW w:type="dxa" w:w="3022"/>
            <w:shd w:val="clear" w:color="auto" w:fill="1F497D"/>
          </w:tcPr>
          <w:p>
            <w:pPr>
              <w:jc w:val="center"/>
            </w:pPr>
            <w:r/>
            <w:r>
              <w:rPr>
                <w:rFonts w:ascii="Calibri" w:hAnsi="Calibri"/>
                <w:b/>
                <w:color w:val="FFFFFF"/>
                <w:sz w:val="20"/>
              </w:rPr>
              <w:t>Method</w:t>
            </w:r>
          </w:p>
        </w:tc>
        <w:tc>
          <w:tcPr>
            <w:tcW w:type="dxa" w:w="3022"/>
            <w:shd w:val="clear" w:color="auto" w:fill="1F497D"/>
          </w:tcPr>
          <w:p>
            <w:pPr>
              <w:jc w:val="center"/>
            </w:pPr>
            <w:r/>
            <w:r>
              <w:rPr>
                <w:rFonts w:ascii="Calibri" w:hAnsi="Calibri"/>
                <w:b/>
                <w:color w:val="FFFFFF"/>
                <w:sz w:val="20"/>
              </w:rPr>
              <w:t>Endpoint</w:t>
            </w:r>
          </w:p>
        </w:tc>
        <w:tc>
          <w:tcPr>
            <w:tcW w:type="dxa" w:w="3022"/>
            <w:shd w:val="clear" w:color="auto" w:fill="1F497D"/>
          </w:tcPr>
          <w:p>
            <w:pPr>
              <w:jc w:val="center"/>
            </w:pPr>
            <w:r/>
            <w:r>
              <w:rPr>
                <w:rFonts w:ascii="Calibri" w:hAnsi="Calibri"/>
                <w:b/>
                <w:color w:val="FFFFFF"/>
                <w:sz w:val="20"/>
              </w:rPr>
              <w:t>Description</w:t>
            </w:r>
          </w:p>
        </w:tc>
      </w:tr>
      <w:tr>
        <w:tc>
          <w:tcPr>
            <w:tcW w:type="dxa" w:w="3022"/>
            <w:shd w:val="clear" w:color="auto" w:fill="F2F2F2"/>
          </w:tcPr>
          <w:p>
            <w:r/>
            <w:r>
              <w:rPr>
                <w:rFonts w:ascii="Courier New" w:hAnsi="Courier New"/>
                <w:b/>
                <w:color w:val="1F497D"/>
                <w:sz w:val="20"/>
              </w:rPr>
              <w:t>GET</w:t>
            </w:r>
          </w:p>
        </w:tc>
        <w:tc>
          <w:tcPr>
            <w:tcW w:type="dxa" w:w="3022"/>
            <w:shd w:val="clear" w:color="auto" w:fill="F2F2F2"/>
          </w:tcPr>
          <w:p>
            <w:r/>
            <w:r>
              <w:rPr>
                <w:rFonts w:ascii="Courier New" w:hAnsi="Courier New"/>
                <w:sz w:val="20"/>
              </w:rPr>
              <w:t>/</w:t>
            </w:r>
          </w:p>
        </w:tc>
        <w:tc>
          <w:tcPr>
            <w:tcW w:type="dxa" w:w="3022"/>
            <w:shd w:val="clear" w:color="auto" w:fill="F2F2F2"/>
          </w:tcPr>
          <w:p>
            <w:r/>
            <w:r>
              <w:rPr>
                <w:rFonts w:ascii="Calibri" w:hAnsi="Calibri"/>
                <w:sz w:val="20"/>
              </w:rPr>
              <w:t>Health check — confirms API is running</w:t>
            </w:r>
          </w:p>
        </w:tc>
      </w:tr>
      <w:tr>
        <w:tc>
          <w:tcPr>
            <w:tcW w:type="dxa" w:w="3022"/>
            <w:shd w:val="clear" w:color="auto" w:fill="FFFFFF"/>
          </w:tcPr>
          <w:p>
            <w:r/>
            <w:r>
              <w:rPr>
                <w:rFonts w:ascii="Courier New" w:hAnsi="Courier New"/>
                <w:b/>
                <w:color w:val="1F497D"/>
                <w:sz w:val="20"/>
              </w:rPr>
              <w:t>GET</w:t>
            </w:r>
          </w:p>
        </w:tc>
        <w:tc>
          <w:tcPr>
            <w:tcW w:type="dxa" w:w="3022"/>
            <w:shd w:val="clear" w:color="auto" w:fill="FFFFFF"/>
          </w:tcPr>
          <w:p>
            <w:r/>
            <w:r>
              <w:rPr>
                <w:rFonts w:ascii="Courier New" w:hAnsi="Courier New"/>
                <w:sz w:val="20"/>
              </w:rPr>
              <w:t>/features</w:t>
            </w:r>
          </w:p>
        </w:tc>
        <w:tc>
          <w:tcPr>
            <w:tcW w:type="dxa" w:w="3022"/>
            <w:shd w:val="clear" w:color="auto" w:fill="FFFFFF"/>
          </w:tcPr>
          <w:p>
            <w:r/>
            <w:r>
              <w:rPr>
                <w:rFonts w:ascii="Calibri" w:hAnsi="Calibri"/>
                <w:sz w:val="20"/>
              </w:rPr>
              <w:t>Returns list of all 30 required feature names</w:t>
            </w:r>
          </w:p>
        </w:tc>
      </w:tr>
      <w:tr>
        <w:tc>
          <w:tcPr>
            <w:tcW w:type="dxa" w:w="3022"/>
            <w:shd w:val="clear" w:color="auto" w:fill="F2F2F2"/>
          </w:tcPr>
          <w:p>
            <w:r/>
            <w:r>
              <w:rPr>
                <w:rFonts w:ascii="Courier New" w:hAnsi="Courier New"/>
                <w:b/>
                <w:color w:val="1F497D"/>
                <w:sz w:val="20"/>
              </w:rPr>
              <w:t>GET</w:t>
            </w:r>
          </w:p>
        </w:tc>
        <w:tc>
          <w:tcPr>
            <w:tcW w:type="dxa" w:w="3022"/>
            <w:shd w:val="clear" w:color="auto" w:fill="F2F2F2"/>
          </w:tcPr>
          <w:p>
            <w:r/>
            <w:r>
              <w:rPr>
                <w:rFonts w:ascii="Courier New" w:hAnsi="Courier New"/>
                <w:sz w:val="20"/>
              </w:rPr>
              <w:t>/models</w:t>
            </w:r>
          </w:p>
        </w:tc>
        <w:tc>
          <w:tcPr>
            <w:tcW w:type="dxa" w:w="3022"/>
            <w:shd w:val="clear" w:color="auto" w:fill="F2F2F2"/>
          </w:tcPr>
          <w:p>
            <w:r/>
            <w:r>
              <w:rPr>
                <w:rFonts w:ascii="Calibri" w:hAnsi="Calibri"/>
                <w:sz w:val="20"/>
              </w:rPr>
              <w:t>Lists available trained model names</w:t>
            </w:r>
          </w:p>
        </w:tc>
      </w:tr>
      <w:tr>
        <w:tc>
          <w:tcPr>
            <w:tcW w:type="dxa" w:w="3022"/>
            <w:shd w:val="clear" w:color="auto" w:fill="FFFFFF"/>
          </w:tcPr>
          <w:p>
            <w:r/>
            <w:r>
              <w:rPr>
                <w:rFonts w:ascii="Courier New" w:hAnsi="Courier New"/>
                <w:b/>
                <w:color w:val="1F497D"/>
                <w:sz w:val="20"/>
              </w:rPr>
              <w:t>POST</w:t>
            </w:r>
          </w:p>
        </w:tc>
        <w:tc>
          <w:tcPr>
            <w:tcW w:type="dxa" w:w="3022"/>
            <w:shd w:val="clear" w:color="auto" w:fill="FFFFFF"/>
          </w:tcPr>
          <w:p>
            <w:r/>
            <w:r>
              <w:rPr>
                <w:rFonts w:ascii="Courier New" w:hAnsi="Courier New"/>
                <w:sz w:val="20"/>
              </w:rPr>
              <w:t>/predict</w:t>
            </w:r>
          </w:p>
        </w:tc>
        <w:tc>
          <w:tcPr>
            <w:tcW w:type="dxa" w:w="3022"/>
            <w:shd w:val="clear" w:color="auto" w:fill="FFFFFF"/>
          </w:tcPr>
          <w:p>
            <w:r/>
            <w:r>
              <w:rPr>
                <w:rFonts w:ascii="Calibri" w:hAnsi="Calibri"/>
                <w:sz w:val="20"/>
              </w:rPr>
              <w:t>Accepts feature JSON, returns prediction + probabilities</w:t>
            </w:r>
          </w:p>
        </w:tc>
      </w:tr>
    </w:tbl>
    <w:p/>
    <w:p>
      <w:pPr>
        <w:pStyle w:val="Heading2"/>
        <w:spacing w:before="240" w:after="80"/>
        <w:jc w:val="left"/>
      </w:pPr>
      <w:r>
        <w:rPr>
          <w:color w:val="1F497D"/>
          <w:sz w:val="26"/>
        </w:rPr>
        <w:t>6.4 Example Prediction Request</w:t>
      </w:r>
    </w:p>
    <w:p>
      <w:pPr>
        <w:spacing w:before="0" w:after="120"/>
        <w:jc w:val="both"/>
      </w:pPr>
      <w:r>
        <w:rPr>
          <w:rFonts w:ascii="Calibri" w:hAnsi="Calibri"/>
          <w:sz w:val="21"/>
        </w:rPr>
        <w:t>Send via cURL:</w:t>
      </w:r>
    </w:p>
    <w:p>
      <w:pPr>
        <w:shd w:val="clear" w:color="auto" w:fill="F2F2F2"/>
        <w:spacing w:before="80" w:after="80"/>
      </w:pPr>
      <w:r>
        <w:rPr>
          <w:rFonts w:ascii="Courier New" w:hAnsi="Courier New"/>
          <w:sz w:val="18"/>
        </w:rPr>
        <w:t>curl -X POST http://localhost:8000/predict \</w:t>
        <w:br/>
        <w:t xml:space="preserve">  -H "Content-Type: application/json" \</w:t>
        <w:br/>
        <w:t xml:space="preserve">  -d '{"model": "logistic_regression", "features": {"DFA": 0.71826, "gender": 1.0, ...}}'</w:t>
      </w:r>
    </w:p>
    <w:p>
      <w:pPr>
        <w:spacing w:before="0" w:after="120"/>
        <w:jc w:val="both"/>
      </w:pPr>
      <w:r>
        <w:rPr>
          <w:rFonts w:ascii="Calibri" w:hAnsi="Calibri"/>
          <w:sz w:val="21"/>
        </w:rPr>
        <w:t>Expected response:</w:t>
      </w:r>
    </w:p>
    <w:p>
      <w:pPr>
        <w:shd w:val="clear" w:color="auto" w:fill="F2F2F2"/>
        <w:spacing w:before="80" w:after="80"/>
      </w:pPr>
      <w:r>
        <w:rPr>
          <w:rFonts w:ascii="Courier New" w:hAnsi="Courier New"/>
          <w:sz w:val="18"/>
        </w:rPr>
        <w:t>{</w:t>
        <w:br/>
        <w:t xml:space="preserve">  "model": "logistic_regression",</w:t>
        <w:br/>
        <w:t xml:space="preserve">  "prediction": 1,</w:t>
        <w:br/>
        <w:t xml:space="preserve">  "label": "Parkinson",</w:t>
        <w:br/>
        <w:t xml:space="preserve">  "probability_parkinson": 0.8741,</w:t>
        <w:br/>
        <w:t xml:space="preserve">  "probability_healthy": 0.1259</w:t>
        <w:br/>
        <w:t>}</w:t>
      </w:r>
    </w:p>
    <w:p>
      <w:r>
        <w:br w:type="page"/>
      </w:r>
    </w:p>
    <w:p>
      <w:pPr>
        <w:pStyle w:val="Heading1"/>
        <w:spacing w:before="240" w:after="80"/>
        <w:jc w:val="left"/>
      </w:pPr>
      <w:r>
        <w:rPr>
          <w:b/>
          <w:color w:val="1F497D"/>
          <w:sz w:val="32"/>
        </w:rPr>
        <w:t>7. Recommendation &amp; Conclusion</w:t>
      </w:r>
    </w:p>
    <w:p>
      <w:pPr>
        <w:pBdr>
          <w:bottom w:val="single" w:sz="6" w:space="1" w:color="1F497D"/>
        </w:pBdr>
        <w:spacing w:before="80" w:after="80"/>
      </w:pPr>
    </w:p>
    <w:p>
      <w:pPr>
        <w:pStyle w:val="Heading2"/>
        <w:spacing w:before="240" w:after="80"/>
        <w:jc w:val="left"/>
      </w:pPr>
      <w:r>
        <w:rPr>
          <w:color w:val="1F497D"/>
          <w:sz w:val="26"/>
        </w:rPr>
        <w:t>7.1 Recommended Model: Logistic Regression</w:t>
      </w:r>
    </w:p>
    <w:p>
      <w:pPr>
        <w:spacing w:before="0" w:after="120"/>
        <w:jc w:val="both"/>
      </w:pPr>
      <w:r>
        <w:rPr>
          <w:rFonts w:ascii="Calibri" w:hAnsi="Calibri"/>
          <w:sz w:val="21"/>
        </w:rPr>
        <w:t>Although Random Forest achieved the highest raw ROC-AUC (0.8156) on the validation set, Logistic Regression is the recommended model for clinical deployment. The rationale is as follows:</w:t>
      </w:r>
    </w:p>
    <w:p>
      <w:pPr>
        <w:spacing w:before="80" w:after="80"/>
      </w:pPr>
      <w:r>
        <w:rPr>
          <w:rFonts w:ascii="Calibri" w:hAnsi="Calibri"/>
          <w:b/>
          <w:sz w:val="21"/>
        </w:rPr>
        <w:t xml:space="preserve">1. Consistent generalisation — </w:t>
      </w:r>
      <w:r>
        <w:rPr>
          <w:rFonts w:ascii="Calibri" w:hAnsi="Calibri"/>
          <w:sz w:val="21"/>
        </w:rPr>
        <w:t>XGBoost achieved a perfect training ROC-AUC of 1.0 but dropped to 0.786 on validation — a textbook case of overfitting on a small dataset (252 patients). Logistic Regression delivered stable performance with no such gap (val ROC-AUC ≈ 0.83).</w:t>
      </w:r>
    </w:p>
    <w:p>
      <w:pPr>
        <w:spacing w:before="80" w:after="80"/>
      </w:pPr>
      <w:r>
        <w:rPr>
          <w:rFonts w:ascii="Calibri" w:hAnsi="Calibri"/>
          <w:b/>
          <w:sz w:val="21"/>
        </w:rPr>
        <w:t xml:space="preserve">2. Clinical interpretability — </w:t>
      </w:r>
      <w:r>
        <w:rPr>
          <w:rFonts w:ascii="Calibri" w:hAnsi="Calibri"/>
          <w:sz w:val="21"/>
        </w:rPr>
        <w:t>Logistic Regression coefficients directly quantify each feature's effect on the log-odds of Parkinson's disease. Clinicians and auditors can inspect, challenge, and trust the model's decision logic — a regulatory requirement in medical AI applications.</w:t>
      </w:r>
    </w:p>
    <w:p>
      <w:pPr>
        <w:spacing w:before="80" w:after="80"/>
      </w:pPr>
      <w:r>
        <w:rPr>
          <w:rFonts w:ascii="Calibri" w:hAnsi="Calibri"/>
          <w:b/>
          <w:sz w:val="21"/>
        </w:rPr>
        <w:t xml:space="preserve">3. Calibrated probability output — </w:t>
      </w:r>
      <w:r>
        <w:rPr>
          <w:rFonts w:ascii="Calibri" w:hAnsi="Calibri"/>
          <w:sz w:val="21"/>
        </w:rPr>
        <w:t>Logistic Regression produces well-calibrated probabilities by design. A predicted score of 0.8 reliably corresponds to an 80% likelihood — essential for clinical risk thresholds and triage.</w:t>
      </w:r>
    </w:p>
    <w:p>
      <w:pPr>
        <w:spacing w:before="80" w:after="80"/>
      </w:pPr>
      <w:r>
        <w:rPr>
          <w:rFonts w:ascii="Calibri" w:hAnsi="Calibri"/>
          <w:b/>
          <w:sz w:val="21"/>
        </w:rPr>
        <w:t xml:space="preserve">4. Small dataset robustness — </w:t>
      </w:r>
      <w:r>
        <w:rPr>
          <w:rFonts w:ascii="Calibri" w:hAnsi="Calibri"/>
          <w:sz w:val="21"/>
        </w:rPr>
        <w:t>With only 252 patients, complex non-linear models are prone to memorising training patterns. A regularised linear model (L2 by default) is statistically more appropriate at this scale.</w:t>
      </w:r>
    </w:p>
    <w:p>
      <w:pPr>
        <w:spacing w:before="80" w:after="80"/>
      </w:pPr>
      <w:r>
        <w:rPr>
          <w:rFonts w:ascii="Calibri" w:hAnsi="Calibri"/>
          <w:b/>
          <w:sz w:val="21"/>
        </w:rPr>
        <w:t xml:space="preserve">5. SHAP alignment with literature — </w:t>
      </w:r>
      <w:r>
        <w:rPr>
          <w:rFonts w:ascii="Calibri" w:hAnsi="Calibri"/>
          <w:sz w:val="21"/>
        </w:rPr>
        <w:t>SHAP analysis confirms Logistic Regression relies on a stable, clinically relevant feature set (DFA, IMF_SNR_SEO, tqwt_energy features) consistent with established vocal biomarkers for Parkinson's disease reported in the neurology literature.</w:t>
      </w:r>
    </w:p>
    <w:p/>
    <w:p>
      <w:pPr>
        <w:pStyle w:val="Heading2"/>
        <w:spacing w:before="240" w:after="80"/>
        <w:jc w:val="left"/>
      </w:pPr>
      <w:r>
        <w:rPr>
          <w:color w:val="1F497D"/>
          <w:sz w:val="26"/>
        </w:rPr>
        <w:t>7.2 Final Comparison</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813"/>
            <w:shd w:val="clear" w:color="auto" w:fill="1F497D"/>
          </w:tcPr>
          <w:p>
            <w:pPr>
              <w:jc w:val="center"/>
            </w:pPr>
            <w:r/>
            <w:r>
              <w:rPr>
                <w:rFonts w:ascii="Calibri" w:hAnsi="Calibri"/>
                <w:b/>
                <w:color w:val="FFFFFF"/>
                <w:sz w:val="20"/>
              </w:rPr>
              <w:t>Model</w:t>
            </w:r>
          </w:p>
        </w:tc>
        <w:tc>
          <w:tcPr>
            <w:tcW w:type="dxa" w:w="1813"/>
            <w:shd w:val="clear" w:color="auto" w:fill="1F497D"/>
          </w:tcPr>
          <w:p>
            <w:pPr>
              <w:jc w:val="center"/>
            </w:pPr>
            <w:r/>
            <w:r>
              <w:rPr>
                <w:rFonts w:ascii="Calibri" w:hAnsi="Calibri"/>
                <w:b/>
                <w:color w:val="FFFFFF"/>
                <w:sz w:val="20"/>
              </w:rPr>
              <w:t>Accuracy</w:t>
            </w:r>
          </w:p>
        </w:tc>
        <w:tc>
          <w:tcPr>
            <w:tcW w:type="dxa" w:w="1813"/>
            <w:shd w:val="clear" w:color="auto" w:fill="1F497D"/>
          </w:tcPr>
          <w:p>
            <w:pPr>
              <w:jc w:val="center"/>
            </w:pPr>
            <w:r/>
            <w:r>
              <w:rPr>
                <w:rFonts w:ascii="Calibri" w:hAnsi="Calibri"/>
                <w:b/>
                <w:color w:val="FFFFFF"/>
                <w:sz w:val="20"/>
              </w:rPr>
              <w:t>F1</w:t>
            </w:r>
          </w:p>
        </w:tc>
        <w:tc>
          <w:tcPr>
            <w:tcW w:type="dxa" w:w="1813"/>
            <w:shd w:val="clear" w:color="auto" w:fill="1F497D"/>
          </w:tcPr>
          <w:p>
            <w:pPr>
              <w:jc w:val="center"/>
            </w:pPr>
            <w:r/>
            <w:r>
              <w:rPr>
                <w:rFonts w:ascii="Calibri" w:hAnsi="Calibri"/>
                <w:b/>
                <w:color w:val="FFFFFF"/>
                <w:sz w:val="20"/>
              </w:rPr>
              <w:t>ROC-AUC</w:t>
            </w:r>
          </w:p>
        </w:tc>
        <w:tc>
          <w:tcPr>
            <w:tcW w:type="dxa" w:w="1813"/>
            <w:shd w:val="clear" w:color="auto" w:fill="1F497D"/>
          </w:tcPr>
          <w:p>
            <w:pPr>
              <w:jc w:val="center"/>
            </w:pPr>
            <w:r/>
            <w:r>
              <w:rPr>
                <w:rFonts w:ascii="Calibri" w:hAnsi="Calibri"/>
                <w:b/>
                <w:color w:val="FFFFFF"/>
                <w:sz w:val="20"/>
              </w:rPr>
              <w:t>Recommended</w:t>
            </w:r>
          </w:p>
        </w:tc>
      </w:tr>
      <w:tr>
        <w:tc>
          <w:tcPr>
            <w:tcW w:type="dxa" w:w="1813"/>
            <w:shd w:val="clear" w:color="auto" w:fill="F2F2F2"/>
          </w:tcPr>
          <w:p>
            <w:pPr>
              <w:jc w:val="center"/>
            </w:pPr>
            <w:r/>
            <w:r>
              <w:rPr>
                <w:rFonts w:ascii="Calibri" w:hAnsi="Calibri"/>
                <w:b w:val="0"/>
                <w:sz w:val="20"/>
              </w:rPr>
              <w:t>Random Forest</w:t>
            </w:r>
          </w:p>
        </w:tc>
        <w:tc>
          <w:tcPr>
            <w:tcW w:type="dxa" w:w="1813"/>
            <w:shd w:val="clear" w:color="auto" w:fill="F2F2F2"/>
          </w:tcPr>
          <w:p>
            <w:pPr>
              <w:jc w:val="center"/>
            </w:pPr>
            <w:r/>
            <w:r>
              <w:rPr>
                <w:rFonts w:ascii="Calibri" w:hAnsi="Calibri"/>
                <w:b w:val="0"/>
                <w:sz w:val="20"/>
              </w:rPr>
              <w:t>0.8431</w:t>
            </w:r>
          </w:p>
        </w:tc>
        <w:tc>
          <w:tcPr>
            <w:tcW w:type="dxa" w:w="1813"/>
            <w:shd w:val="clear" w:color="auto" w:fill="F2F2F2"/>
          </w:tcPr>
          <w:p>
            <w:pPr>
              <w:jc w:val="center"/>
            </w:pPr>
            <w:r/>
            <w:r>
              <w:rPr>
                <w:rFonts w:ascii="Calibri" w:hAnsi="Calibri"/>
                <w:b w:val="0"/>
                <w:sz w:val="20"/>
              </w:rPr>
              <w:t>0.8974</w:t>
            </w:r>
          </w:p>
        </w:tc>
        <w:tc>
          <w:tcPr>
            <w:tcW w:type="dxa" w:w="1813"/>
            <w:shd w:val="clear" w:color="auto" w:fill="F2F2F2"/>
          </w:tcPr>
          <w:p>
            <w:pPr>
              <w:jc w:val="center"/>
            </w:pPr>
            <w:r/>
            <w:r>
              <w:rPr>
                <w:rFonts w:ascii="Calibri" w:hAnsi="Calibri"/>
                <w:b w:val="0"/>
                <w:sz w:val="20"/>
              </w:rPr>
              <w:t>0.8156</w:t>
            </w:r>
          </w:p>
        </w:tc>
        <w:tc>
          <w:tcPr>
            <w:tcW w:type="dxa" w:w="1813"/>
            <w:shd w:val="clear" w:color="auto" w:fill="F2F2F2"/>
          </w:tcPr>
          <w:p>
            <w:pPr>
              <w:jc w:val="center"/>
            </w:pPr>
            <w:r/>
            <w:r>
              <w:rPr>
                <w:rFonts w:ascii="Calibri" w:hAnsi="Calibri"/>
                <w:b w:val="0"/>
                <w:sz w:val="20"/>
              </w:rPr>
              <w:t>No</w:t>
            </w:r>
          </w:p>
        </w:tc>
      </w:tr>
      <w:tr>
        <w:tc>
          <w:tcPr>
            <w:tcW w:type="dxa" w:w="1813"/>
            <w:shd w:val="clear" w:color="auto" w:fill="FFFFFF"/>
          </w:tcPr>
          <w:p>
            <w:pPr>
              <w:jc w:val="center"/>
            </w:pPr>
            <w:r/>
            <w:r>
              <w:rPr>
                <w:rFonts w:ascii="Calibri" w:hAnsi="Calibri"/>
                <w:b/>
                <w:sz w:val="20"/>
              </w:rPr>
              <w:t>Logistic Regression</w:t>
            </w:r>
          </w:p>
        </w:tc>
        <w:tc>
          <w:tcPr>
            <w:tcW w:type="dxa" w:w="1813"/>
            <w:shd w:val="clear" w:color="auto" w:fill="FFFFFF"/>
          </w:tcPr>
          <w:p>
            <w:pPr>
              <w:jc w:val="center"/>
            </w:pPr>
            <w:r/>
            <w:r>
              <w:rPr>
                <w:rFonts w:ascii="Calibri" w:hAnsi="Calibri"/>
                <w:b/>
                <w:sz w:val="20"/>
              </w:rPr>
              <w:t>0.8235</w:t>
            </w:r>
          </w:p>
        </w:tc>
        <w:tc>
          <w:tcPr>
            <w:tcW w:type="dxa" w:w="1813"/>
            <w:shd w:val="clear" w:color="auto" w:fill="FFFFFF"/>
          </w:tcPr>
          <w:p>
            <w:pPr>
              <w:jc w:val="center"/>
            </w:pPr>
            <w:r/>
            <w:r>
              <w:rPr>
                <w:rFonts w:ascii="Calibri" w:hAnsi="Calibri"/>
                <w:b/>
                <w:sz w:val="20"/>
              </w:rPr>
              <w:t>0.8767</w:t>
            </w:r>
          </w:p>
        </w:tc>
        <w:tc>
          <w:tcPr>
            <w:tcW w:type="dxa" w:w="1813"/>
            <w:shd w:val="clear" w:color="auto" w:fill="FFFFFF"/>
          </w:tcPr>
          <w:p>
            <w:pPr>
              <w:jc w:val="center"/>
            </w:pPr>
            <w:r/>
            <w:r>
              <w:rPr>
                <w:rFonts w:ascii="Calibri" w:hAnsi="Calibri"/>
                <w:b/>
                <w:sz w:val="20"/>
              </w:rPr>
              <w:t>0.7992</w:t>
            </w:r>
          </w:p>
        </w:tc>
        <w:tc>
          <w:tcPr>
            <w:tcW w:type="dxa" w:w="1813"/>
            <w:shd w:val="clear" w:color="auto" w:fill="FFFFFF"/>
          </w:tcPr>
          <w:p>
            <w:pPr>
              <w:jc w:val="center"/>
            </w:pPr>
            <w:r/>
            <w:r>
              <w:rPr>
                <w:rFonts w:ascii="Calibri" w:hAnsi="Calibri"/>
                <w:b/>
                <w:color w:val="17875A"/>
                <w:sz w:val="20"/>
              </w:rPr>
              <w:t>✔ YES</w:t>
            </w:r>
          </w:p>
        </w:tc>
      </w:tr>
      <w:tr>
        <w:tc>
          <w:tcPr>
            <w:tcW w:type="dxa" w:w="1813"/>
            <w:shd w:val="clear" w:color="auto" w:fill="F2F2F2"/>
          </w:tcPr>
          <w:p>
            <w:pPr>
              <w:jc w:val="center"/>
            </w:pPr>
            <w:r/>
            <w:r>
              <w:rPr>
                <w:rFonts w:ascii="Calibri" w:hAnsi="Calibri"/>
                <w:b w:val="0"/>
                <w:sz w:val="20"/>
              </w:rPr>
              <w:t>Xgboost</w:t>
            </w:r>
          </w:p>
        </w:tc>
        <w:tc>
          <w:tcPr>
            <w:tcW w:type="dxa" w:w="1813"/>
            <w:shd w:val="clear" w:color="auto" w:fill="F2F2F2"/>
          </w:tcPr>
          <w:p>
            <w:pPr>
              <w:jc w:val="center"/>
            </w:pPr>
            <w:r/>
            <w:r>
              <w:rPr>
                <w:rFonts w:ascii="Calibri" w:hAnsi="Calibri"/>
                <w:b w:val="0"/>
                <w:sz w:val="20"/>
              </w:rPr>
              <w:t>0.7451</w:t>
            </w:r>
          </w:p>
        </w:tc>
        <w:tc>
          <w:tcPr>
            <w:tcW w:type="dxa" w:w="1813"/>
            <w:shd w:val="clear" w:color="auto" w:fill="F2F2F2"/>
          </w:tcPr>
          <w:p>
            <w:pPr>
              <w:jc w:val="center"/>
            </w:pPr>
            <w:r/>
            <w:r>
              <w:rPr>
                <w:rFonts w:ascii="Calibri" w:hAnsi="Calibri"/>
                <w:b w:val="0"/>
                <w:sz w:val="20"/>
              </w:rPr>
              <w:t>0.8312</w:t>
            </w:r>
          </w:p>
        </w:tc>
        <w:tc>
          <w:tcPr>
            <w:tcW w:type="dxa" w:w="1813"/>
            <w:shd w:val="clear" w:color="auto" w:fill="F2F2F2"/>
          </w:tcPr>
          <w:p>
            <w:pPr>
              <w:jc w:val="center"/>
            </w:pPr>
            <w:r/>
            <w:r>
              <w:rPr>
                <w:rFonts w:ascii="Calibri" w:hAnsi="Calibri"/>
                <w:b w:val="0"/>
                <w:sz w:val="20"/>
              </w:rPr>
              <w:t>0.7857</w:t>
            </w:r>
          </w:p>
        </w:tc>
        <w:tc>
          <w:tcPr>
            <w:tcW w:type="dxa" w:w="1813"/>
            <w:shd w:val="clear" w:color="auto" w:fill="F2F2F2"/>
          </w:tcPr>
          <w:p>
            <w:pPr>
              <w:jc w:val="center"/>
            </w:pPr>
            <w:r/>
            <w:r>
              <w:rPr>
                <w:rFonts w:ascii="Calibri" w:hAnsi="Calibri"/>
                <w:b w:val="0"/>
                <w:sz w:val="20"/>
              </w:rPr>
              <w:t>No</w:t>
            </w:r>
          </w:p>
        </w:tc>
      </w:tr>
    </w:tbl>
    <w:p/>
    <w:p>
      <w:pPr>
        <w:pStyle w:val="Heading2"/>
        <w:spacing w:before="240" w:after="80"/>
        <w:jc w:val="left"/>
      </w:pPr>
      <w:r>
        <w:rPr>
          <w:color w:val="1F497D"/>
          <w:sz w:val="26"/>
        </w:rPr>
        <w:t>7.3 Conclusion</w:t>
      </w:r>
    </w:p>
    <w:p>
      <w:pPr>
        <w:spacing w:before="0" w:after="120"/>
        <w:jc w:val="both"/>
      </w:pPr>
      <w:r>
        <w:rPr>
          <w:rFonts w:ascii="Calibri" w:hAnsi="Calibri"/>
          <w:sz w:val="21"/>
        </w:rPr>
        <w:t>Logistic Regression is recommended for production deployment as a Parkinson's disease clinical screening tool. It achieves 82.4% accuracy and 0.799 ROC-AUC on unseen patients, with full transparency of its decision logic via coefficients and SHAP values. Random Forest should be re-evaluated once the dataset exceeds ~1,000 patients, at which point its ensemble advantage over Logistic Regression is expected to materialise without overfitting risk. XGBoost is not recommended at this dataset scale.</w:t>
      </w:r>
    </w:p>
    <w:p/>
    <w:p>
      <w:pPr>
        <w:jc w:val="center"/>
      </w:pPr>
      <w:r>
        <w:rPr>
          <w:i/>
          <w:color w:val="888888"/>
          <w:sz w:val="17"/>
        </w:rPr>
        <w:t>Report generated by src/generate_report.py  ·  Date: 06 April 2026  ·  github.com/surajmhulke/parkinson-disease-prediction</w:t>
      </w:r>
    </w:p>
    <w:sectPr w:rsidR="00FC693F" w:rsidRPr="0006063C" w:rsidSect="00034616">
      <w:pgSz w:w="12240" w:h="15840"/>
      <w:pgMar w:top="1417" w:right="1587" w:bottom="1417" w:left="1587" w:header="720" w:footer="720" w:gutter="0"/>
      <w:cols w:space="720"/>
      <w:docGrid w:linePitch="360"/>
      <w:pgBorders w:offsetFrom="page">
        <w:top w:val="single" w:sz="6" w:space="24" w:color="1F497D"/>
        <w:left w:val="single" w:sz="6" w:space="24" w:color="1F497D"/>
        <w:bottom w:val="single" w:sz="6" w:space="24" w:color="1F497D"/>
        <w:right w:val="single" w:sz="6" w:space="24" w:color="1F497D"/>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