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q9fq9j6kgpn" w:id="0"/>
      <w:bookmarkEnd w:id="0"/>
      <w:r w:rsidDel="00000000" w:rsidR="00000000" w:rsidRPr="00000000">
        <w:rPr>
          <w:b w:val="1"/>
          <w:color w:val="000000"/>
          <w:sz w:val="26"/>
          <w:szCs w:val="26"/>
          <w:rtl w:val="0"/>
        </w:rPr>
        <w:t xml:space="preserve">1. Project Overview and Relevance</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The Interactive Graph Algorithms Visualizer project offers a valuable hands-on approach to understanding graph data structures. By allowing users to add nodes, create edges, and apply algorithms (e.g., BFS, DFS, Dijkstra’s) in real-time, it enhances comprehension of complex processes. This project is particularly relevant for education, providing a clear, interactive learning experience that bridges theoretical knowledge and practical application—especially useful for students and early-career developers in computer science.</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Graph algorithms have significant applications across fields like networking, transportation, and logistics, where they are essential for calculations involving shortest paths, network routing, and efficiency in traffic management. In the context of data structures and algorithms (DSA) education, this project fills a growing need for interactive learning tools that improve understanding and engagement with challenging concepts.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ypg8bbn482s" w:id="1"/>
      <w:bookmarkEnd w:id="1"/>
      <w:r w:rsidDel="00000000" w:rsidR="00000000" w:rsidRPr="00000000">
        <w:rPr>
          <w:b w:val="1"/>
          <w:color w:val="000000"/>
          <w:sz w:val="26"/>
          <w:szCs w:val="26"/>
          <w:rtl w:val="0"/>
        </w:rPr>
        <w:t xml:space="preserve">2. Past History and Developments (2014 - 2024)</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The last decade has seen substantial progress in the development of educational tools focused on algorithm visualization: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2014-2017:</w:t>
      </w:r>
      <w:r w:rsidDel="00000000" w:rsidR="00000000" w:rsidRPr="00000000">
        <w:rPr>
          <w:rtl w:val="0"/>
        </w:rPr>
        <w:t xml:space="preserve"> Early visualizers predominantly addressed basic algorithms like sorting and searching, with platforms like </w:t>
      </w:r>
      <w:r w:rsidDel="00000000" w:rsidR="00000000" w:rsidRPr="00000000">
        <w:rPr>
          <w:b w:val="1"/>
          <w:rtl w:val="0"/>
        </w:rPr>
        <w:t xml:space="preserve">VisuAlgo</w:t>
      </w:r>
      <w:r w:rsidDel="00000000" w:rsidR="00000000" w:rsidRPr="00000000">
        <w:rPr>
          <w:rtl w:val="0"/>
        </w:rPr>
        <w:t xml:space="preserve"> setting a foundational approach. While these resources were valuable, interactive support for graph algorithms was limited.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2017-2019:</w:t>
      </w:r>
      <w:r w:rsidDel="00000000" w:rsidR="00000000" w:rsidRPr="00000000">
        <w:rPr>
          <w:rtl w:val="0"/>
        </w:rPr>
        <w:t xml:space="preserve"> As DSA became a focus area in technical interviews, the educational industry placed a stronger emphasis on practical algorithmic knowledge. More visual tools emerged, yet interactive graph algorithm visualization remained relatively rare due to the performance challenges in rendering complex visual data.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2020-2022:</w:t>
      </w:r>
      <w:r w:rsidDel="00000000" w:rsidR="00000000" w:rsidRPr="00000000">
        <w:rPr>
          <w:rtl w:val="0"/>
        </w:rPr>
        <w:t xml:space="preserve"> The shift towards online learning due to global events increased the demand for sophisticated visualizations. Tools like </w:t>
      </w:r>
      <w:r w:rsidDel="00000000" w:rsidR="00000000" w:rsidRPr="00000000">
        <w:rPr>
          <w:b w:val="1"/>
          <w:rtl w:val="0"/>
        </w:rPr>
        <w:t xml:space="preserve">LeetCode</w:t>
      </w:r>
      <w:r w:rsidDel="00000000" w:rsidR="00000000" w:rsidRPr="00000000">
        <w:rPr>
          <w:rtl w:val="0"/>
        </w:rPr>
        <w:t xml:space="preserve"> and </w:t>
      </w:r>
      <w:r w:rsidDel="00000000" w:rsidR="00000000" w:rsidRPr="00000000">
        <w:rPr>
          <w:b w:val="1"/>
          <w:rtl w:val="0"/>
        </w:rPr>
        <w:t xml:space="preserve">HackerRank</w:t>
      </w:r>
      <w:r w:rsidDel="00000000" w:rsidR="00000000" w:rsidRPr="00000000">
        <w:rPr>
          <w:rtl w:val="0"/>
        </w:rPr>
        <w:t xml:space="preserve"> introduced simulators for practice but still lacked interactive capabilities for graph algorithms. Studies during this period supported the effectiveness of visual learning, especially in technical fields like computer science.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2023-2024:</w:t>
      </w:r>
      <w:r w:rsidDel="00000000" w:rsidR="00000000" w:rsidRPr="00000000">
        <w:rPr>
          <w:rtl w:val="0"/>
        </w:rPr>
        <w:t xml:space="preserve"> Technological advances, including </w:t>
      </w:r>
      <w:r w:rsidDel="00000000" w:rsidR="00000000" w:rsidRPr="00000000">
        <w:rPr>
          <w:b w:val="1"/>
          <w:rtl w:val="0"/>
        </w:rPr>
        <w:t xml:space="preserve">WebAssembly</w:t>
      </w:r>
      <w:r w:rsidDel="00000000" w:rsidR="00000000" w:rsidRPr="00000000">
        <w:rPr>
          <w:rtl w:val="0"/>
        </w:rPr>
        <w:t xml:space="preserve"> and modern JavaScript libraries (e.g., React, D3.js), made real-time, interactive applications feasible, particularly for complex data structures like graphs. Research in educational technology further highlighted the benefits of interactive tools, supporting the relevance of projects like a graph algorithm visualizer.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he2e69j2mtr" w:id="2"/>
      <w:bookmarkEnd w:id="2"/>
      <w:r w:rsidDel="00000000" w:rsidR="00000000" w:rsidRPr="00000000">
        <w:rPr>
          <w:b w:val="1"/>
          <w:color w:val="000000"/>
          <w:sz w:val="26"/>
          <w:szCs w:val="26"/>
          <w:rtl w:val="0"/>
        </w:rPr>
        <w:t xml:space="preserve">3. Future Expectations and Trends (2025)</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Looking toward 2025, the growth of interactive educational tools is expected to accelerate, driven by advances in AI and machine learning. These enhancements could allow for more personalized learning paths that adapt to individual user needs, creating a tailored experience. Real-time graph algorithm visualizers may also gain features like automated feedback, adaptive difficulty, and support for a wider range of algorithms, reflecting the continued integration of technology into education. With this direction, projects like this one will likely remain vital, offering a practical and accessible way for students and professionals to deepen their understanding of complex data structures.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wsdq817c1nme" w:id="3"/>
      <w:bookmarkEnd w:id="3"/>
      <w:r w:rsidDel="00000000" w:rsidR="00000000" w:rsidRPr="00000000">
        <w:rPr>
          <w:b w:val="1"/>
          <w:color w:val="000000"/>
          <w:sz w:val="26"/>
          <w:szCs w:val="26"/>
          <w:rtl w:val="0"/>
        </w:rPr>
        <w:t xml:space="preserve">References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Visualizing Algorithms in Education. </w:t>
      </w:r>
      <w:r w:rsidDel="00000000" w:rsidR="00000000" w:rsidRPr="00000000">
        <w:rPr>
          <w:b w:val="1"/>
          <w:rtl w:val="0"/>
        </w:rPr>
        <w:t xml:space="preserve">VisuAlgo</w:t>
      </w:r>
      <w:r w:rsidDel="00000000" w:rsidR="00000000" w:rsidRPr="00000000">
        <w:rPr>
          <w:rtl w:val="0"/>
        </w:rPr>
        <w:t xml:space="preserve">. Retrieved from https://visualgo.net/en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Innovations in Computer Science Education, </w:t>
      </w:r>
      <w:r w:rsidDel="00000000" w:rsidR="00000000" w:rsidRPr="00000000">
        <w:rPr>
          <w:b w:val="1"/>
          <w:rtl w:val="0"/>
        </w:rPr>
        <w:t xml:space="preserve">MIT OpenCourseWare</w:t>
      </w:r>
      <w:r w:rsidDel="00000000" w:rsidR="00000000" w:rsidRPr="00000000">
        <w:rPr>
          <w:rtl w:val="0"/>
        </w:rPr>
        <w:t xml:space="preserve">. Accessed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https://ocw.mit.edu/</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Educational Tools and Trends in DSA: 2014-2024. Journal of EdTech, 2023.</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The Role of AI in Future Algorithm Visualizations. </w:t>
      </w:r>
      <w:r w:rsidDel="00000000" w:rsidR="00000000" w:rsidRPr="00000000">
        <w:rPr>
          <w:b w:val="1"/>
          <w:rtl w:val="0"/>
        </w:rPr>
        <w:t xml:space="preserve">EdTech Research Journal</w:t>
      </w:r>
      <w:r w:rsidDel="00000000" w:rsidR="00000000" w:rsidRPr="00000000">
        <w:rPr>
          <w:rtl w:val="0"/>
        </w:rPr>
        <w:t xml:space="preserve">, 2024.</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cw.mit.edu/" TargetMode="External"/><Relationship Id="rId7" Type="http://schemas.openxmlformats.org/officeDocument/2006/relationships/hyperlink" Target="https://oc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