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r>
        <w:rPr>
          <w:rFonts w:ascii="Arial" w:cs="Arial" w:eastAsia="Arial" w:hAnsi="Arial"/>
          <w:color w:val="2F2F2F"/>
          <w:sz w:val="20"/>
          <w:szCs w:val="20"/>
        </w:rPr>
        <w:t xml:space="preserve"/>
      </w:r>
    </w:p>
    <w:p>
      <w:pPr>
        <w:spacing w:after="120" w:before="0"/>
        <w:jc w:val="center"/>
      </w:pPr>
      <w:r>
        <w:rPr>
          <w:rFonts w:ascii="Arial" w:cs="Arial" w:eastAsia="Arial" w:hAnsi="Arial"/>
          <w:b/>
          <w:bCs/>
          <w:color w:val="1F3864"/>
          <w:sz w:val="52"/>
          <w:szCs w:val="52"/>
        </w:rPr>
        <w:t xml:space="preserve">Software Design Document</w:t>
      </w:r>
    </w:p>
    <w:p>
      <w:pPr>
        <w:spacing w:after="240" w:before="0"/>
        <w:jc w:val="center"/>
      </w:pPr>
      <w:r>
        <w:rPr>
          <w:rFonts w:ascii="Arial" w:cs="Arial" w:eastAsia="Arial" w:hAnsi="Arial"/>
          <w:b/>
          <w:bCs/>
          <w:color w:val="2E75B6"/>
          <w:sz w:val="44"/>
          <w:szCs w:val="44"/>
        </w:rPr>
        <w:t xml:space="preserve">Agentic AI Systems</w:t>
      </w:r>
    </w:p>
    <w:p>
      <w:pPr>
        <w:pBdr>
          <w:bottom w:val="single" w:color="2E75B6" w:sz="12" w:space="1"/>
        </w:pBdr>
        <w:spacing w:after="240" w:before="0"/>
      </w:pPr>
    </w:p>
    <w:p>
      <w:pPr>
        <w:spacing w:after="600" w:before="0"/>
        <w:jc w:val="center"/>
      </w:pPr>
      <w:r>
        <w:rPr>
          <w:rFonts w:ascii="Arial" w:cs="Arial" w:eastAsia="Arial" w:hAnsi="Arial"/>
          <w:i/>
          <w:iCs/>
          <w:color w:val="2F2F2F"/>
          <w:sz w:val="28"/>
          <w:szCs w:val="28"/>
        </w:rPr>
        <w:t xml:space="preserve">Architecture Reference &amp; Review Board Template</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b/>
                <w:bCs/>
                <w:color w:val="2F2F2F"/>
                <w:sz w:val="18"/>
                <w:szCs w:val="18"/>
              </w:rPr>
              <w:t xml:space="preserve">Document Version:</w:t>
            </w:r>
          </w:p>
        </w:tc>
        <w:tc>
          <w:tcPr>
            <w:tcW w:type="dxa" w:w="43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color w:val="2F2F2F"/>
                <w:sz w:val="18"/>
                <w:szCs w:val="18"/>
              </w:rPr>
              <w:t xml:space="preserve">v1.0 — Template</w:t>
            </w:r>
          </w:p>
        </w:tc>
      </w:tr>
      <w:tr>
        <w:tc>
          <w:tcPr>
            <w:tcW w:type="dxa" w:w="2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b/>
                <w:bCs/>
                <w:color w:val="2F2F2F"/>
                <w:sz w:val="18"/>
                <w:szCs w:val="18"/>
              </w:rPr>
              <w:t xml:space="preserve">Status:</w:t>
            </w:r>
          </w:p>
        </w:tc>
        <w:tc>
          <w:tcPr>
            <w:tcW w:type="dxa" w:w="43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color w:val="2F2F2F"/>
                <w:sz w:val="18"/>
                <w:szCs w:val="18"/>
              </w:rPr>
              <w:t xml:space="preserve">Draft — For ARB Review</w:t>
            </w:r>
          </w:p>
        </w:tc>
      </w:tr>
      <w:tr>
        <w:tc>
          <w:tcPr>
            <w:tcW w:type="dxa" w:w="2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b/>
                <w:bCs/>
                <w:color w:val="2F2F2F"/>
                <w:sz w:val="18"/>
                <w:szCs w:val="18"/>
              </w:rPr>
              <w:t xml:space="preserve">Classification:</w:t>
            </w:r>
          </w:p>
        </w:tc>
        <w:tc>
          <w:tcPr>
            <w:tcW w:type="dxa" w:w="43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color w:val="2F2F2F"/>
                <w:sz w:val="18"/>
                <w:szCs w:val="18"/>
              </w:rPr>
              <w:t xml:space="preserve">[INTERNAL / CONFIDENTIAL]</w:t>
            </w:r>
          </w:p>
        </w:tc>
      </w:tr>
      <w:tr>
        <w:tc>
          <w:tcPr>
            <w:tcW w:type="dxa" w:w="2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b/>
                <w:bCs/>
                <w:color w:val="2F2F2F"/>
                <w:sz w:val="18"/>
                <w:szCs w:val="18"/>
              </w:rPr>
              <w:t xml:space="preserve">Date:</w:t>
            </w:r>
          </w:p>
        </w:tc>
        <w:tc>
          <w:tcPr>
            <w:tcW w:type="dxa" w:w="43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color w:val="2F2F2F"/>
                <w:sz w:val="18"/>
                <w:szCs w:val="18"/>
              </w:rPr>
              <w:t xml:space="preserve">[DD MMM YYYY]</w:t>
            </w:r>
          </w:p>
        </w:tc>
      </w:tr>
      <w:tr>
        <w:tc>
          <w:tcPr>
            <w:tcW w:type="dxa" w:w="2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b/>
                <w:bCs/>
                <w:color w:val="2F2F2F"/>
                <w:sz w:val="18"/>
                <w:szCs w:val="18"/>
              </w:rPr>
              <w:t xml:space="preserve">Owner:</w:t>
            </w:r>
          </w:p>
        </w:tc>
        <w:tc>
          <w:tcPr>
            <w:tcW w:type="dxa" w:w="43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color w:val="2F2F2F"/>
                <w:sz w:val="18"/>
                <w:szCs w:val="18"/>
              </w:rPr>
              <w:t xml:space="preserve">[Project / Team Name]</w:t>
            </w:r>
          </w:p>
        </w:tc>
      </w:tr>
      <w:tr>
        <w:tc>
          <w:tcPr>
            <w:tcW w:type="dxa" w:w="2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b/>
                <w:bCs/>
                <w:color w:val="2F2F2F"/>
                <w:sz w:val="18"/>
                <w:szCs w:val="18"/>
              </w:rPr>
              <w:t xml:space="preserve">ARB Submission:</w:t>
            </w:r>
          </w:p>
        </w:tc>
        <w:tc>
          <w:tcPr>
            <w:tcW w:type="dxa" w:w="43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color w:val="2F2F2F"/>
                <w:sz w:val="18"/>
                <w:szCs w:val="18"/>
              </w:rPr>
              <w:t xml:space="preserve">[ARB Reference Number]</w:t>
            </w:r>
          </w:p>
        </w:tc>
      </w:tr>
    </w:tbl>
    <w:p>
      <w:pPr>
        <w:spacing w:after="200" w:before="200"/>
      </w:pPr>
      <w:r>
        <w:rPr>
          <w:rFonts w:ascii="Arial" w:cs="Arial" w:eastAsia="Arial" w:hAnsi="Arial"/>
          <w:color w:val="2F2F2F"/>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1. Introduction</w:t>
      </w:r>
    </w:p>
    <w:p>
      <w:pPr>
        <w:pStyle w:val="Heading2"/>
        <w:spacing w:after="80" w:before="280"/>
      </w:pPr>
      <w:r>
        <w:rPr>
          <w:rFonts w:ascii="Arial" w:cs="Arial" w:eastAsia="Arial" w:hAnsi="Arial"/>
          <w:b/>
          <w:bCs/>
          <w:color w:val="2E75B6"/>
          <w:sz w:val="28"/>
          <w:szCs w:val="28"/>
        </w:rPr>
        <w:t xml:space="preserve">1.1 Purpose</w:t>
      </w:r>
    </w:p>
    <w:p>
      <w:r>
        <w:rPr>
          <w:rFonts w:ascii="Arial" w:cs="Arial" w:eastAsia="Arial" w:hAnsi="Arial"/>
          <w:color w:val="2F2F2F"/>
          <w:sz w:val="20"/>
          <w:szCs w:val="20"/>
        </w:rPr>
        <w:t xml:space="preserve">This Software Design Document (SDD) establishes the standard architecture, design patterns, and governance requirements for Agentic AI systems within the organisation. It serves as the mandatory reference template for all project teams submitting Agentic AI initiatives for Architecture Review Board (ARB) approval.</w:t>
      </w:r>
    </w:p>
    <w:p>
      <w:pPr>
        <w:spacing w:after="60" w:before="60"/>
      </w:pPr>
      <w:r>
        <w:rPr>
          <w:rFonts w:ascii="Arial" w:cs="Arial" w:eastAsia="Arial" w:hAnsi="Arial"/>
          <w:color w:val="2F2F2F"/>
          <w:sz w:val="20"/>
          <w:szCs w:val="20"/>
        </w:rPr>
        <w:t xml:space="preserve"/>
      </w:r>
    </w:p>
    <w:p>
      <w:r>
        <w:rPr>
          <w:rFonts w:ascii="Arial" w:cs="Arial" w:eastAsia="Arial" w:hAnsi="Arial"/>
          <w:color w:val="2F2F2F"/>
          <w:sz w:val="20"/>
          <w:szCs w:val="20"/>
        </w:rPr>
        <w:t xml:space="preserve">The document ensures that all Agentic AI deployments conform to a consistent architectural baseline, enabling the ARB to evaluate proposals against defined standards for agent orchestration, security, data handling, and observability.</w:t>
      </w:r>
    </w:p>
    <w:p>
      <w:pPr>
        <w:spacing w:after="60" w:before="6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1.2 Scope</w:t>
      </w:r>
    </w:p>
    <w:p>
      <w:r>
        <w:rPr>
          <w:rFonts w:ascii="Arial" w:cs="Arial" w:eastAsia="Arial" w:hAnsi="Arial"/>
          <w:color w:val="2F2F2F"/>
          <w:sz w:val="20"/>
          <w:szCs w:val="20"/>
        </w:rPr>
        <w:t xml:space="preserve">This document applies to all AI systems that exhibit agentic behaviour, defined as systems where an AI model autonomously plans, decides, and executes multi-step tasks — potentially invoking tools, external APIs, other agents, or modifying state — in pursuit of a goal with limited per-step human oversight.</w:t>
      </w:r>
    </w:p>
    <w:p>
      <w:pPr>
        <w:spacing w:after="60" w:before="60"/>
      </w:pPr>
      <w:r>
        <w:rPr>
          <w:rFonts w:ascii="Arial" w:cs="Arial" w:eastAsia="Arial" w:hAnsi="Arial"/>
          <w:color w:val="2F2F2F"/>
          <w:sz w:val="20"/>
          <w:szCs w:val="20"/>
        </w:rPr>
        <w:t xml:space="preserve"/>
      </w:r>
    </w:p>
    <w:p>
      <w:r>
        <w:rPr>
          <w:rFonts w:ascii="Arial" w:cs="Arial" w:eastAsia="Arial" w:hAnsi="Arial"/>
          <w:color w:val="2F2F2F"/>
          <w:sz w:val="20"/>
          <w:szCs w:val="20"/>
        </w:rPr>
        <w:t xml:space="preserve">In scope:</w:t>
      </w:r>
    </w:p>
    <w:p>
      <w:pPr>
        <w:pStyle w:val="ListParagraph"/>
        <w:numPr>
          <w:ilvl w:val="0"/>
          <w:numId w:val="2"/>
        </w:numPr>
        <w:spacing w:after="40" w:before="40"/>
      </w:pPr>
      <w:r>
        <w:rPr>
          <w:rFonts w:ascii="Arial" w:cs="Arial" w:eastAsia="Arial" w:hAnsi="Arial"/>
          <w:color w:val="2F2F2F"/>
          <w:sz w:val="20"/>
          <w:szCs w:val="20"/>
        </w:rPr>
        <w:t xml:space="preserve">Single-agent systems with tool-use capabilities (function calling, code execution, web browsing)</w:t>
      </w:r>
    </w:p>
    <w:p>
      <w:pPr>
        <w:pStyle w:val="ListParagraph"/>
        <w:numPr>
          <w:ilvl w:val="0"/>
          <w:numId w:val="2"/>
        </w:numPr>
        <w:spacing w:after="40" w:before="40"/>
      </w:pPr>
      <w:r>
        <w:rPr>
          <w:rFonts w:ascii="Arial" w:cs="Arial" w:eastAsia="Arial" w:hAnsi="Arial"/>
          <w:color w:val="2F2F2F"/>
          <w:sz w:val="20"/>
          <w:szCs w:val="20"/>
        </w:rPr>
        <w:t xml:space="preserve">Multi-agent systems with orchestrator–subagent hierarchies</w:t>
      </w:r>
    </w:p>
    <w:p>
      <w:pPr>
        <w:pStyle w:val="ListParagraph"/>
        <w:numPr>
          <w:ilvl w:val="0"/>
          <w:numId w:val="2"/>
        </w:numPr>
        <w:spacing w:after="40" w:before="40"/>
      </w:pPr>
      <w:r>
        <w:rPr>
          <w:rFonts w:ascii="Arial" w:cs="Arial" w:eastAsia="Arial" w:hAnsi="Arial"/>
          <w:color w:val="2F2F2F"/>
          <w:sz w:val="20"/>
          <w:szCs w:val="20"/>
        </w:rPr>
        <w:t xml:space="preserve">Human-in-the-loop (HITL) and fully autonomous agent workflows</w:t>
      </w:r>
    </w:p>
    <w:p>
      <w:pPr>
        <w:pStyle w:val="ListParagraph"/>
        <w:numPr>
          <w:ilvl w:val="0"/>
          <w:numId w:val="2"/>
        </w:numPr>
        <w:spacing w:after="40" w:before="40"/>
      </w:pPr>
      <w:r>
        <w:rPr>
          <w:rFonts w:ascii="Arial" w:cs="Arial" w:eastAsia="Arial" w:hAnsi="Arial"/>
          <w:color w:val="2F2F2F"/>
          <w:sz w:val="20"/>
          <w:szCs w:val="20"/>
        </w:rPr>
        <w:t xml:space="preserve">Agents consuming or producing enterprise data, APIs, or external services</w:t>
      </w:r>
    </w:p>
    <w:p>
      <w:pPr>
        <w:spacing w:after="60" w:before="60"/>
      </w:pPr>
      <w:r>
        <w:rPr>
          <w:rFonts w:ascii="Arial" w:cs="Arial" w:eastAsia="Arial" w:hAnsi="Arial"/>
          <w:color w:val="2F2F2F"/>
          <w:sz w:val="20"/>
          <w:szCs w:val="20"/>
        </w:rPr>
        <w:t xml:space="preserve"/>
      </w:r>
    </w:p>
    <w:p>
      <w:r>
        <w:rPr>
          <w:rFonts w:ascii="Arial" w:cs="Arial" w:eastAsia="Arial" w:hAnsi="Arial"/>
          <w:color w:val="2F2F2F"/>
          <w:sz w:val="20"/>
          <w:szCs w:val="20"/>
        </w:rPr>
        <w:t xml:space="preserve">Out of scope:</w:t>
      </w:r>
    </w:p>
    <w:p>
      <w:pPr>
        <w:pStyle w:val="ListParagraph"/>
        <w:numPr>
          <w:ilvl w:val="0"/>
          <w:numId w:val="2"/>
        </w:numPr>
        <w:spacing w:after="40" w:before="40"/>
      </w:pPr>
      <w:r>
        <w:rPr>
          <w:rFonts w:ascii="Arial" w:cs="Arial" w:eastAsia="Arial" w:hAnsi="Arial"/>
          <w:color w:val="2F2F2F"/>
          <w:sz w:val="20"/>
          <w:szCs w:val="20"/>
        </w:rPr>
        <w:t xml:space="preserve">Standalone LLM inference with no tool use or autonomous action</w:t>
      </w:r>
    </w:p>
    <w:p>
      <w:pPr>
        <w:pStyle w:val="ListParagraph"/>
        <w:numPr>
          <w:ilvl w:val="0"/>
          <w:numId w:val="2"/>
        </w:numPr>
        <w:spacing w:after="40" w:before="40"/>
      </w:pPr>
      <w:r>
        <w:rPr>
          <w:rFonts w:ascii="Arial" w:cs="Arial" w:eastAsia="Arial" w:hAnsi="Arial"/>
          <w:color w:val="2F2F2F"/>
          <w:sz w:val="20"/>
          <w:szCs w:val="20"/>
        </w:rPr>
        <w:t xml:space="preserve">Batch ML pipelines without decision-making loops</w:t>
      </w:r>
    </w:p>
    <w:p>
      <w:pPr>
        <w:pStyle w:val="ListParagraph"/>
        <w:numPr>
          <w:ilvl w:val="0"/>
          <w:numId w:val="2"/>
        </w:numPr>
        <w:spacing w:after="40" w:before="40"/>
      </w:pPr>
      <w:r>
        <w:rPr>
          <w:rFonts w:ascii="Arial" w:cs="Arial" w:eastAsia="Arial" w:hAnsi="Arial"/>
          <w:color w:val="2F2F2F"/>
          <w:sz w:val="20"/>
          <w:szCs w:val="20"/>
        </w:rPr>
        <w:t xml:space="preserve">RPA systems not augmented by foundation models</w:t>
      </w:r>
    </w:p>
    <w:p>
      <w:pPr>
        <w:spacing w:after="60" w:before="6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 / Acronym</w:t>
            </w:r>
          </w:p>
        </w:tc>
        <w:tc>
          <w:tcPr>
            <w:tcW w:type="dxa" w:w="7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Agent</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An AI system that autonomously perceives its environment, reasons over it, and takes actions to achieve a stated goal.</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Orchestrator</w:t>
            </w:r>
          </w:p>
        </w:tc>
        <w:tc>
          <w:tcPr>
            <w:tcW w:type="dxa" w:w="7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A controller agent that decomposes a goal into sub-tasks and delegates them to specialised subagents.</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Subagent</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An agent that executes a specific delegated task under direction from an orchestrator.</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Tool / Function</w:t>
            </w:r>
          </w:p>
        </w:tc>
        <w:tc>
          <w:tcPr>
            <w:tcW w:type="dxa" w:w="7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An external capability (API, database query, code executor, etc.) invoked by an agent to affect the world.</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RAG</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Retrieval-Augmented Generation — a pattern where relevant documents are retrieved and injected into a prompt.</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HITL</w:t>
            </w:r>
          </w:p>
        </w:tc>
        <w:tc>
          <w:tcPr>
            <w:tcW w:type="dxa" w:w="7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Human-in-the-Loop — a control pattern requiring human approval before sensitive actions are executed.</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ARB</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Architecture Review Board — the governance body responsible for approving system designs.</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SDD</w:t>
            </w:r>
          </w:p>
        </w:tc>
        <w:tc>
          <w:tcPr>
            <w:tcW w:type="dxa" w:w="7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Software Design Document — this document.</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PII</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Personally Identifiable Information.</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RBAC</w:t>
            </w:r>
          </w:p>
        </w:tc>
        <w:tc>
          <w:tcPr>
            <w:tcW w:type="dxa" w:w="7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Role-Based Access Control.</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CoT</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Chain-of-Thought — a reasoning technique where the model narrates intermediate steps.</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MCP</w:t>
            </w:r>
          </w:p>
        </w:tc>
        <w:tc>
          <w:tcPr>
            <w:tcW w:type="dxa" w:w="7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Model Context Protocol — a standard protocol for connecting AI models to tools and data sources.</w:t>
            </w:r>
          </w:p>
        </w:tc>
      </w:tr>
      <w:tr>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LLM</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Large Language Model — the foundation model powering an agent.</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1.4 References</w:t>
      </w:r>
    </w:p>
    <w:p>
      <w:pPr>
        <w:pStyle w:val="ListParagraph"/>
        <w:numPr>
          <w:ilvl w:val="0"/>
          <w:numId w:val="2"/>
        </w:numPr>
        <w:spacing w:after="40" w:before="40"/>
      </w:pPr>
      <w:r>
        <w:rPr>
          <w:rFonts w:ascii="Arial" w:cs="Arial" w:eastAsia="Arial" w:hAnsi="Arial"/>
          <w:color w:val="2F2F2F"/>
          <w:sz w:val="20"/>
          <w:szCs w:val="20"/>
        </w:rPr>
        <w:t xml:space="preserve">NIST AI Risk Management Framework (AI RMF 1.0)</w:t>
      </w:r>
    </w:p>
    <w:p>
      <w:pPr>
        <w:pStyle w:val="ListParagraph"/>
        <w:numPr>
          <w:ilvl w:val="0"/>
          <w:numId w:val="2"/>
        </w:numPr>
        <w:spacing w:after="40" w:before="40"/>
      </w:pPr>
      <w:r>
        <w:rPr>
          <w:rFonts w:ascii="Arial" w:cs="Arial" w:eastAsia="Arial" w:hAnsi="Arial"/>
          <w:color w:val="2F2F2F"/>
          <w:sz w:val="20"/>
          <w:szCs w:val="20"/>
        </w:rPr>
        <w:t xml:space="preserve">OWASP Top 10 for LLM Applications</w:t>
      </w:r>
    </w:p>
    <w:p>
      <w:pPr>
        <w:pStyle w:val="ListParagraph"/>
        <w:numPr>
          <w:ilvl w:val="0"/>
          <w:numId w:val="2"/>
        </w:numPr>
        <w:spacing w:after="40" w:before="40"/>
      </w:pPr>
      <w:r>
        <w:rPr>
          <w:rFonts w:ascii="Arial" w:cs="Arial" w:eastAsia="Arial" w:hAnsi="Arial"/>
          <w:color w:val="2F2F2F"/>
          <w:sz w:val="20"/>
          <w:szCs w:val="20"/>
        </w:rPr>
        <w:t xml:space="preserve">ISO/IEC 42001 — AI Management System Standard</w:t>
      </w:r>
    </w:p>
    <w:p>
      <w:pPr>
        <w:pStyle w:val="ListParagraph"/>
        <w:numPr>
          <w:ilvl w:val="0"/>
          <w:numId w:val="2"/>
        </w:numPr>
        <w:spacing w:after="40" w:before="40"/>
      </w:pPr>
      <w:r>
        <w:rPr>
          <w:rFonts w:ascii="Arial" w:cs="Arial" w:eastAsia="Arial" w:hAnsi="Arial"/>
          <w:color w:val="2F2F2F"/>
          <w:sz w:val="20"/>
          <w:szCs w:val="20"/>
        </w:rPr>
        <w:t xml:space="preserve">Organisation Enterprise Architecture Standards [internal ref]</w:t>
      </w:r>
    </w:p>
    <w:p>
      <w:pPr>
        <w:pStyle w:val="ListParagraph"/>
        <w:numPr>
          <w:ilvl w:val="0"/>
          <w:numId w:val="2"/>
        </w:numPr>
        <w:spacing w:after="40" w:before="40"/>
      </w:pPr>
      <w:r>
        <w:rPr>
          <w:rFonts w:ascii="Arial" w:cs="Arial" w:eastAsia="Arial" w:hAnsi="Arial"/>
          <w:color w:val="2F2F2F"/>
          <w:sz w:val="20"/>
          <w:szCs w:val="20"/>
        </w:rPr>
        <w:t xml:space="preserve">Organisation Data Classification Policy [internal ref]</w:t>
      </w:r>
    </w:p>
    <w:p>
      <w:pPr>
        <w:pStyle w:val="ListParagraph"/>
        <w:numPr>
          <w:ilvl w:val="0"/>
          <w:numId w:val="2"/>
        </w:numPr>
        <w:spacing w:after="40" w:before="40"/>
      </w:pPr>
      <w:r>
        <w:rPr>
          <w:rFonts w:ascii="Arial" w:cs="Arial" w:eastAsia="Arial" w:hAnsi="Arial"/>
          <w:color w:val="2F2F2F"/>
          <w:sz w:val="20"/>
          <w:szCs w:val="20"/>
        </w:rPr>
        <w:t xml:space="preserve">Organisation Change Management Policy [internal ref]</w:t>
      </w:r>
    </w:p>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1.5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Version</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w:t>
            </w:r>
          </w:p>
        </w:tc>
        <w:tc>
          <w:tcPr>
            <w:tcW w:type="dxa" w:w="32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Author</w:t>
            </w:r>
          </w:p>
        </w:tc>
        <w:tc>
          <w:tcPr>
            <w:tcW w:type="dxa" w:w="32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[Date]</w:t>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[Author]</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Initial draft for ARB review</w:t>
            </w:r>
          </w:p>
        </w:tc>
      </w:tr>
      <w:tr>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r>
      <w:tr>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r>
    </w:tbl>
    <w:p>
      <w:pPr>
        <w:spacing w:after="200" w:before="200"/>
      </w:pPr>
      <w:r>
        <w:rPr>
          <w:rFonts w:ascii="Arial" w:cs="Arial" w:eastAsia="Arial" w:hAnsi="Arial"/>
          <w:color w:val="2F2F2F"/>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2. System Overview</w:t>
      </w:r>
    </w:p>
    <w:p>
      <w:pPr>
        <w:pStyle w:val="Heading2"/>
        <w:spacing w:after="80" w:before="280"/>
      </w:pPr>
      <w:r>
        <w:rPr>
          <w:rFonts w:ascii="Arial" w:cs="Arial" w:eastAsia="Arial" w:hAnsi="Arial"/>
          <w:b/>
          <w:bCs/>
          <w:color w:val="2E75B6"/>
          <w:sz w:val="28"/>
          <w:szCs w:val="28"/>
        </w:rPr>
        <w:t xml:space="preserve">2.1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Project Name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[Project / Product Name]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System Short Name</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[Short Name or Acronym]</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Business Domain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Customer Service / Finance / Operations]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Target Environment</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[Cloud Provider / On-premise / Hybrid]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Primary LLM / Model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Claude Sonnet / GPT-4o / Gemini Pro]</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Deployment Model</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[API-hosted / Self-hosted / Fine-tuned]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Autonomy Level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[Fully Autonomous / HITL / Supervised]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Estimated Users/Load</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[Daily active users / requests per minute]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Go-Live Target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[Target Quarter / Date]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Business Owner</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[Name, Role, Contact]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Technical Lead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[Name, Role, Contact]</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2.2 Business Context &amp; Objectives</w:t>
      </w:r>
    </w:p>
    <w:p>
      <w:r>
        <w:rPr>
          <w:rFonts w:ascii="Arial" w:cs="Arial" w:eastAsia="Arial" w:hAnsi="Arial"/>
          <w:color w:val="2F2F2F"/>
          <w:sz w:val="20"/>
          <w:szCs w:val="20"/>
        </w:rPr>
        <w:t xml:space="preserve">Provide a concise description of the business problem this agentic system addresses. State the primary objectives and the value delivered.</w:t>
      </w:r>
    </w:p>
    <w:p>
      <w:pPr>
        <w:spacing w:after="60" w:before="60"/>
      </w:pPr>
      <w:r>
        <w:rPr>
          <w:rFonts w:ascii="Arial" w:cs="Arial" w:eastAsia="Arial" w:hAnsi="Arial"/>
          <w:color w:val="2F2F2F"/>
          <w:sz w:val="20"/>
          <w:szCs w:val="20"/>
        </w:rPr>
        <w:t xml:space="preserve"/>
      </w:r>
    </w:p>
    <w:p>
      <w:r>
        <w:rPr>
          <w:rFonts w:ascii="Arial" w:cs="Arial" w:eastAsia="Arial" w:hAnsi="Arial"/>
          <w:b/>
          <w:bCs/>
          <w:color w:val="2F2F2F"/>
          <w:sz w:val="20"/>
          <w:szCs w:val="20"/>
        </w:rPr>
        <w:t xml:space="preserve">[TEMPLATE GUIDANCE] </w:t>
      </w:r>
      <w:r>
        <w:rPr>
          <w:rFonts w:ascii="Arial" w:cs="Arial" w:eastAsia="Arial" w:hAnsi="Arial"/>
          <w:color w:val="2F2F2F"/>
          <w:sz w:val="20"/>
          <w:szCs w:val="20"/>
        </w:rPr>
        <w:t xml:space="preserve">Complete the following for your project:</w:t>
      </w:r>
    </w:p>
    <w:p>
      <w:pPr>
        <w:pStyle w:val="ListParagraph"/>
        <w:numPr>
          <w:ilvl w:val="0"/>
          <w:numId w:val="2"/>
        </w:numPr>
        <w:spacing w:after="40" w:before="40"/>
      </w:pPr>
      <w:r>
        <w:rPr>
          <w:rFonts w:ascii="Arial" w:cs="Arial" w:eastAsia="Arial" w:hAnsi="Arial"/>
          <w:color w:val="2F2F2F"/>
          <w:sz w:val="20"/>
          <w:szCs w:val="20"/>
        </w:rPr>
        <w:t xml:space="preserve">Business problem statement: [Describe the problem being solved]</w:t>
      </w:r>
    </w:p>
    <w:p>
      <w:pPr>
        <w:pStyle w:val="ListParagraph"/>
        <w:numPr>
          <w:ilvl w:val="0"/>
          <w:numId w:val="2"/>
        </w:numPr>
        <w:spacing w:after="40" w:before="40"/>
      </w:pPr>
      <w:r>
        <w:rPr>
          <w:rFonts w:ascii="Arial" w:cs="Arial" w:eastAsia="Arial" w:hAnsi="Arial"/>
          <w:color w:val="2F2F2F"/>
          <w:sz w:val="20"/>
          <w:szCs w:val="20"/>
        </w:rPr>
        <w:t xml:space="preserve">Key business objectives: [List 3–5 measurable objectives]</w:t>
      </w:r>
    </w:p>
    <w:p>
      <w:pPr>
        <w:pStyle w:val="ListParagraph"/>
        <w:numPr>
          <w:ilvl w:val="0"/>
          <w:numId w:val="2"/>
        </w:numPr>
        <w:spacing w:after="40" w:before="40"/>
      </w:pPr>
      <w:r>
        <w:rPr>
          <w:rFonts w:ascii="Arial" w:cs="Arial" w:eastAsia="Arial" w:hAnsi="Arial"/>
          <w:color w:val="2F2F2F"/>
          <w:sz w:val="20"/>
          <w:szCs w:val="20"/>
        </w:rPr>
        <w:t xml:space="preserve">Expected business outcomes: [Quantifiable benefits — cost reduction, time savings, quality improvement]</w:t>
      </w:r>
    </w:p>
    <w:p>
      <w:pPr>
        <w:pStyle w:val="ListParagraph"/>
        <w:numPr>
          <w:ilvl w:val="0"/>
          <w:numId w:val="2"/>
        </w:numPr>
        <w:spacing w:after="40" w:before="40"/>
      </w:pPr>
      <w:r>
        <w:rPr>
          <w:rFonts w:ascii="Arial" w:cs="Arial" w:eastAsia="Arial" w:hAnsi="Arial"/>
          <w:color w:val="2F2F2F"/>
          <w:sz w:val="20"/>
          <w:szCs w:val="20"/>
        </w:rPr>
        <w:t xml:space="preserve">Stakeholders impacted: [Internal teams, external customers, partners]</w:t>
      </w:r>
    </w:p>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2.3 Agentic AI Capability Classification</w:t>
      </w:r>
    </w:p>
    <w:p>
      <w:r>
        <w:rPr>
          <w:rFonts w:ascii="Arial" w:cs="Arial" w:eastAsia="Arial" w:hAnsi="Arial"/>
          <w:color w:val="2F2F2F"/>
          <w:sz w:val="20"/>
          <w:szCs w:val="20"/>
        </w:rPr>
        <w:t xml:space="preserve">Classify the system's agentic capabilities to guide risk assessment and review depth. Projects must tick all applicable categories:</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c>
          <w:tcPr>
            <w:tcW w:type="dxa" w:w="10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Applies?</w:t>
            </w:r>
          </w:p>
        </w:tc>
        <w:tc>
          <w:tcPr>
            <w:tcW w:type="dxa" w:w="32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Capability</w:t>
            </w:r>
          </w:p>
        </w:tc>
        <w:tc>
          <w:tcPr>
            <w:tcW w:type="dxa" w:w="50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ARB Implication</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Tool / function calling</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Describe all tools; include security controls for each</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Code execution (sandboxed)</w:t>
            </w:r>
          </w:p>
        </w:tc>
        <w:tc>
          <w:tcPr>
            <w:tcW w:type="dxa" w:w="50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Sandbox specification mandatory; escape analysis required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Code execution (non-sandboxed)</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Escalated security review; CISO sign-off required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Web / internet access</w:t>
            </w:r>
          </w:p>
        </w:tc>
        <w:tc>
          <w:tcPr>
            <w:tcW w:type="dxa" w:w="50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Content filtering policy and allow-list required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File system read access</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Scope and access controls must be defined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File system write access</w:t>
            </w:r>
          </w:p>
        </w:tc>
        <w:tc>
          <w:tcPr>
            <w:tcW w:type="dxa" w:w="50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Change audit log mandatory; scope limitation required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Database read access</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Data classification of all accessed tables required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Database write / delete access</w:t>
            </w:r>
          </w:p>
        </w:tc>
        <w:tc>
          <w:tcPr>
            <w:tcW w:type="dxa" w:w="50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Mandatory HITL for destructive operations</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External API calls</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API inventory required; rate limiting and error handling</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Email / messaging send</w:t>
            </w:r>
          </w:p>
        </w:tc>
        <w:tc>
          <w:tcPr>
            <w:tcW w:type="dxa" w:w="50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Content policy, approval gates, and rate limits required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Orchestrator of other agents</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Full agent topology diagram required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Multi-agent communication</w:t>
            </w:r>
          </w:p>
        </w:tc>
        <w:tc>
          <w:tcPr>
            <w:tcW w:type="dxa" w:w="50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Inter-agent trust model and authentication required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Memory / persistent state</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Data retention, PII handling, and purge policy required</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User data processing (PII / PHI)</w:t>
            </w:r>
          </w:p>
        </w:tc>
        <w:tc>
          <w:tcPr>
            <w:tcW w:type="dxa" w:w="50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DPA, consent mechanism, and data lineage required</w:t>
            </w:r>
          </w:p>
        </w:tc>
      </w:tr>
    </w:tbl>
    <w:p>
      <w:pPr>
        <w:spacing w:after="200" w:before="200"/>
      </w:pPr>
      <w:r>
        <w:rPr>
          <w:rFonts w:ascii="Arial" w:cs="Arial" w:eastAsia="Arial" w:hAnsi="Arial"/>
          <w:color w:val="2F2F2F"/>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3. Architecture Design</w:t>
      </w:r>
    </w:p>
    <w:p>
      <w:pPr>
        <w:pStyle w:val="Heading2"/>
        <w:spacing w:after="80" w:before="280"/>
      </w:pPr>
      <w:r>
        <w:rPr>
          <w:rFonts w:ascii="Arial" w:cs="Arial" w:eastAsia="Arial" w:hAnsi="Arial"/>
          <w:b/>
          <w:bCs/>
          <w:color w:val="2E75B6"/>
          <w:sz w:val="28"/>
          <w:szCs w:val="28"/>
        </w:rPr>
        <w:t xml:space="preserve">3.1 Architecture Principles</w:t>
      </w:r>
    </w:p>
    <w:p>
      <w:r>
        <w:rPr>
          <w:rFonts w:ascii="Arial" w:cs="Arial" w:eastAsia="Arial" w:hAnsi="Arial"/>
          <w:color w:val="2F2F2F"/>
          <w:sz w:val="20"/>
          <w:szCs w:val="20"/>
        </w:rPr>
        <w:t xml:space="preserve">All Agentic AI systems designed within this organisation must conform to the following architecture principles:</w:t>
      </w:r>
    </w:p>
    <w:p>
      <w:pPr>
        <w:spacing w:after="60" w:before="60"/>
      </w:pPr>
      <w:r>
        <w:rPr>
          <w:rFonts w:ascii="Arial" w:cs="Arial" w:eastAsia="Arial" w:hAnsi="Arial"/>
          <w:color w:val="2F2F2F"/>
          <w:sz w:val="20"/>
          <w:szCs w:val="20"/>
        </w:rPr>
        <w:t xml:space="preserve"/>
      </w:r>
    </w:p>
    <w:p>
      <w:pPr>
        <w:spacing w:after="40" w:before="80"/>
      </w:pPr>
      <w:r>
        <w:rPr>
          <w:rFonts w:ascii="Arial" w:cs="Arial" w:eastAsia="Arial" w:hAnsi="Arial"/>
          <w:b/>
          <w:bCs/>
          <w:color w:val="2F2F2F"/>
          <w:sz w:val="20"/>
          <w:szCs w:val="20"/>
        </w:rPr>
        <w:t xml:space="preserve">Minimal Footprint:  </w:t>
      </w:r>
      <w:r>
        <w:rPr>
          <w:rFonts w:ascii="Arial" w:cs="Arial" w:eastAsia="Arial" w:hAnsi="Arial"/>
          <w:color w:val="2F2F2F"/>
          <w:sz w:val="20"/>
          <w:szCs w:val="20"/>
        </w:rPr>
        <w:t xml:space="preserve">Agents are granted only the permissions necessary for their stated task. No standing elevated access. Credentials and tokens are ephemeral where possible.</w:t>
      </w:r>
    </w:p>
    <w:p>
      <w:pPr>
        <w:spacing w:after="40" w:before="80"/>
      </w:pPr>
      <w:r>
        <w:rPr>
          <w:rFonts w:ascii="Arial" w:cs="Arial" w:eastAsia="Arial" w:hAnsi="Arial"/>
          <w:b/>
          <w:bCs/>
          <w:color w:val="2F2F2F"/>
          <w:sz w:val="20"/>
          <w:szCs w:val="20"/>
        </w:rPr>
        <w:t xml:space="preserve">Deterministic Entry Points:  </w:t>
      </w:r>
      <w:r>
        <w:rPr>
          <w:rFonts w:ascii="Arial" w:cs="Arial" w:eastAsia="Arial" w:hAnsi="Arial"/>
          <w:color w:val="2F2F2F"/>
          <w:sz w:val="20"/>
          <w:szCs w:val="20"/>
        </w:rPr>
        <w:t xml:space="preserve">Every agent workflow must have a clearly defined trigger (user request, event, schedule). Unsolicited autonomous action without a traceable trigger is prohibited.</w:t>
      </w:r>
    </w:p>
    <w:p>
      <w:pPr>
        <w:spacing w:after="40" w:before="80"/>
      </w:pPr>
      <w:r>
        <w:rPr>
          <w:rFonts w:ascii="Arial" w:cs="Arial" w:eastAsia="Arial" w:hAnsi="Arial"/>
          <w:b/>
          <w:bCs/>
          <w:color w:val="2F2F2F"/>
          <w:sz w:val="20"/>
          <w:szCs w:val="20"/>
        </w:rPr>
        <w:t xml:space="preserve">Reversibility First:  </w:t>
      </w:r>
      <w:r>
        <w:rPr>
          <w:rFonts w:ascii="Arial" w:cs="Arial" w:eastAsia="Arial" w:hAnsi="Arial"/>
          <w:color w:val="2F2F2F"/>
          <w:sz w:val="20"/>
          <w:szCs w:val="20"/>
        </w:rPr>
        <w:t xml:space="preserve">Where possible, prefer reversible actions over irreversible ones. Destructive operations (delete, send, publish) require explicit confirmation gates.</w:t>
      </w:r>
    </w:p>
    <w:p>
      <w:pPr>
        <w:spacing w:after="40" w:before="80"/>
      </w:pPr>
      <w:r>
        <w:rPr>
          <w:rFonts w:ascii="Arial" w:cs="Arial" w:eastAsia="Arial" w:hAnsi="Arial"/>
          <w:b/>
          <w:bCs/>
          <w:color w:val="2F2F2F"/>
          <w:sz w:val="20"/>
          <w:szCs w:val="20"/>
        </w:rPr>
        <w:t xml:space="preserve">Observe Everything:  </w:t>
      </w:r>
      <w:r>
        <w:rPr>
          <w:rFonts w:ascii="Arial" w:cs="Arial" w:eastAsia="Arial" w:hAnsi="Arial"/>
          <w:color w:val="2F2F2F"/>
          <w:sz w:val="20"/>
          <w:szCs w:val="20"/>
        </w:rPr>
        <w:t xml:space="preserve">All agent decisions, tool calls, inputs, and outputs must be logged in a structured, queryable format. Silent failures are not acceptable.</w:t>
      </w:r>
    </w:p>
    <w:p>
      <w:pPr>
        <w:spacing w:after="40" w:before="80"/>
      </w:pPr>
      <w:r>
        <w:rPr>
          <w:rFonts w:ascii="Arial" w:cs="Arial" w:eastAsia="Arial" w:hAnsi="Arial"/>
          <w:b/>
          <w:bCs/>
          <w:color w:val="2F2F2F"/>
          <w:sz w:val="20"/>
          <w:szCs w:val="20"/>
        </w:rPr>
        <w:t xml:space="preserve">Fail Closed:  </w:t>
      </w:r>
      <w:r>
        <w:rPr>
          <w:rFonts w:ascii="Arial" w:cs="Arial" w:eastAsia="Arial" w:hAnsi="Arial"/>
          <w:color w:val="2F2F2F"/>
          <w:sz w:val="20"/>
          <w:szCs w:val="20"/>
        </w:rPr>
        <w:t xml:space="preserve">When an agent encounters uncertainty, policy violation, or an error it cannot handle, it must halt and escalate — never guess and proceed.</w:t>
      </w:r>
    </w:p>
    <w:p>
      <w:pPr>
        <w:spacing w:after="40" w:before="80"/>
      </w:pPr>
      <w:r>
        <w:rPr>
          <w:rFonts w:ascii="Arial" w:cs="Arial" w:eastAsia="Arial" w:hAnsi="Arial"/>
          <w:b/>
          <w:bCs/>
          <w:color w:val="2F2F2F"/>
          <w:sz w:val="20"/>
          <w:szCs w:val="20"/>
        </w:rPr>
        <w:t xml:space="preserve">Human Override:  </w:t>
      </w:r>
      <w:r>
        <w:rPr>
          <w:rFonts w:ascii="Arial" w:cs="Arial" w:eastAsia="Arial" w:hAnsi="Arial"/>
          <w:color w:val="2F2F2F"/>
          <w:sz w:val="20"/>
          <w:szCs w:val="20"/>
        </w:rPr>
        <w:t xml:space="preserve">A human must be able to halt, redirect, or override any agent at any point in its execution. Override mechanisms must be documented and tested.</w:t>
      </w:r>
    </w:p>
    <w:p>
      <w:pPr>
        <w:spacing w:after="40" w:before="80"/>
      </w:pPr>
      <w:r>
        <w:rPr>
          <w:rFonts w:ascii="Arial" w:cs="Arial" w:eastAsia="Arial" w:hAnsi="Arial"/>
          <w:b/>
          <w:bCs/>
          <w:color w:val="2F2F2F"/>
          <w:sz w:val="20"/>
          <w:szCs w:val="20"/>
        </w:rPr>
        <w:t xml:space="preserve">Context Integrity:  </w:t>
      </w:r>
      <w:r>
        <w:rPr>
          <w:rFonts w:ascii="Arial" w:cs="Arial" w:eastAsia="Arial" w:hAnsi="Arial"/>
          <w:color w:val="2F2F2F"/>
          <w:sz w:val="20"/>
          <w:szCs w:val="20"/>
        </w:rPr>
        <w:t xml:space="preserve">Agent prompts must be protected against injection. System prompt content must not be overrideable by user or tool output.</w:t>
      </w:r>
    </w:p>
    <w:p>
      <w:pPr>
        <w:spacing w:after="40" w:before="80"/>
      </w:pPr>
      <w:r>
        <w:rPr>
          <w:rFonts w:ascii="Arial" w:cs="Arial" w:eastAsia="Arial" w:hAnsi="Arial"/>
          <w:b/>
          <w:bCs/>
          <w:color w:val="2F2F2F"/>
          <w:sz w:val="20"/>
          <w:szCs w:val="20"/>
        </w:rPr>
        <w:t xml:space="preserve">Separation of Concerns:  </w:t>
      </w:r>
      <w:r>
        <w:rPr>
          <w:rFonts w:ascii="Arial" w:cs="Arial" w:eastAsia="Arial" w:hAnsi="Arial"/>
          <w:color w:val="2F2F2F"/>
          <w:sz w:val="20"/>
          <w:szCs w:val="20"/>
        </w:rPr>
        <w:t xml:space="preserve">Orchestration logic, business logic, tool execution, and guardrails must be implemented in separate, auditable layers.</w:t>
      </w:r>
    </w:p>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3.2 Logical Architecture</w:t>
      </w:r>
    </w:p>
    <w:p>
      <w:pPr>
        <w:pStyle w:val="Heading3"/>
        <w:spacing w:after="60" w:before="200"/>
      </w:pPr>
      <w:r>
        <w:rPr>
          <w:rFonts w:ascii="Arial" w:cs="Arial" w:eastAsia="Arial" w:hAnsi="Arial"/>
          <w:b/>
          <w:bCs/>
          <w:color w:val="2F2F2F"/>
          <w:sz w:val="24"/>
          <w:szCs w:val="24"/>
        </w:rPr>
        <w:t xml:space="preserve">3.2.1 Architecture Overview</w:t>
      </w:r>
    </w:p>
    <w:p>
      <w:r>
        <w:rPr>
          <w:rFonts w:ascii="Arial" w:cs="Arial" w:eastAsia="Arial" w:hAnsi="Arial"/>
          <w:color w:val="2F2F2F"/>
          <w:sz w:val="20"/>
          <w:szCs w:val="20"/>
        </w:rPr>
        <w:t xml:space="preserve">The reference logical architecture for an Agentic AI system is structured in five layers. Projects must map their implementation to these layers and identify any deviations for ARB review.</w:t>
      </w:r>
    </w:p>
    <w:p>
      <w:pPr>
        <w:spacing w:after="80" w:before="8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10"/>
              <w:right w:type="dxa" w:w="160"/>
            </w:tcMar>
          </w:tcPr>
          <w:p>
            <w:r>
              <w:rPr>
                <w:rFonts w:ascii="Arial" w:cs="Arial" w:eastAsia="Arial" w:hAnsi="Arial"/>
                <w:b/>
                <w:bCs/>
                <w:color w:val="2E75B6"/>
                <w:sz w:val="22"/>
                <w:szCs w:val="22"/>
              </w:rPr>
              <w:t xml:space="preserve">Layer 1 — Interface &amp; Entry Points</w:t>
            </w:r>
          </w:p>
        </w:tc>
      </w:tr>
      <w:tr>
        <w:tc>
          <w:tcPr>
            <w:tcW w:type="dxa" w:w="9360"/>
            <w:tcBorders>
              <w:top w:val="single" w:color="2E75B6" w:sz="1"/>
              <w:left w:val="single" w:color="2E75B6" w:sz="1"/>
              <w:bottom w:val="single" w:color="2E75B6" w:sz="1"/>
              <w:right w:val="single" w:color="2E75B6" w:sz="1"/>
            </w:tcBorders>
            <w:shd w:fill="D6E4F0" w:val="clear"/>
            <w:tcMar>
              <w:top w:type="dxa" w:w="10"/>
              <w:left w:type="dxa" w:w="160"/>
              <w:bottom w:type="dxa" w:w="80"/>
              <w:right w:type="dxa" w:w="160"/>
            </w:tcMar>
          </w:tcPr>
          <w:p>
            <w:r>
              <w:rPr>
                <w:rFonts w:ascii="Arial" w:cs="Arial" w:eastAsia="Arial" w:hAnsi="Arial"/>
                <w:color w:val="2F2F2F"/>
                <w:sz w:val="20"/>
                <w:szCs w:val="20"/>
              </w:rPr>
              <w:t xml:space="preserve">The surface layer through which users, systems, or events trigger agent workflows.</w:t>
            </w:r>
          </w:p>
        </w:tc>
      </w:tr>
      <w:tr>
        <w:tc>
          <w:tcPr>
            <w:tcW w:type="dxa" w:w="9360"/>
            <w:tcBorders>
              <w:top w:val="single" w:color="2E75B6" w:sz="1"/>
              <w:left w:val="single" w:color="2E75B6" w:sz="1"/>
              <w:bottom w:val="single" w:color="2E75B6" w:sz="1"/>
              <w:right w:val="single" w:color="2E75B6" w:sz="1"/>
            </w:tcBorders>
            <w:shd w:fill="D6E4F0" w:val="clear"/>
            <w:tcMar>
              <w:top w:type="dxa" w:w="10"/>
              <w:left w:type="dxa" w:w="160"/>
              <w:bottom w:type="dxa" w:w="80"/>
              <w:right w:type="dxa" w:w="160"/>
            </w:tcMar>
          </w:tcPr>
          <w:p>
            <w:r>
              <w:rPr>
                <w:rFonts w:ascii="Arial" w:cs="Arial" w:eastAsia="Arial" w:hAnsi="Arial"/>
                <w:color w:val="2F2F2F"/>
                <w:sz w:val="20"/>
                <w:szCs w:val="20"/>
              </w:rPr>
              <w:t xml:space="preserve">Components: Chat UI, REST/GraphQL API, webhook receiver, scheduled job trigger, event bus consumer.</w:t>
            </w:r>
          </w:p>
        </w:tc>
      </w:tr>
      <w:tr>
        <w:tc>
          <w:tcPr>
            <w:tcW w:type="dxa" w:w="9360"/>
            <w:tcBorders>
              <w:top w:val="single" w:color="2E75B6" w:sz="1"/>
              <w:left w:val="single" w:color="2E75B6" w:sz="1"/>
              <w:bottom w:val="single" w:color="2E75B6" w:sz="1"/>
              <w:right w:val="single" w:color="2E75B6" w:sz="1"/>
            </w:tcBorders>
            <w:shd w:fill="D6E4F0" w:val="clear"/>
            <w:tcMar>
              <w:top w:type="dxa" w:w="10"/>
              <w:left w:type="dxa" w:w="160"/>
              <w:bottom w:type="dxa" w:w="80"/>
              <w:right w:type="dxa" w:w="160"/>
            </w:tcMar>
          </w:tcPr>
          <w:p>
            <w:r>
              <w:rPr>
                <w:rFonts w:ascii="Arial" w:cs="Arial" w:eastAsia="Arial" w:hAnsi="Arial"/>
                <w:color w:val="2F2F2F"/>
                <w:sz w:val="20"/>
                <w:szCs w:val="20"/>
              </w:rPr>
              <w:t xml:space="preserve">Design requirement: All inputs must be validated and sanitised before reaching the agent layer. Rate limiting and authentication enforced at this boundary.</w:t>
            </w:r>
          </w:p>
        </w:tc>
      </w:tr>
    </w:tbl>
    <w:p>
      <w:pPr>
        <w:spacing w:after="80" w:before="8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1"/>
              <w:left w:val="single" w:color="70AD47" w:sz="1"/>
              <w:bottom w:val="single" w:color="70AD47" w:sz="1"/>
              <w:right w:val="single" w:color="70AD47" w:sz="1"/>
            </w:tcBorders>
            <w:shd w:fill="E2EFDA" w:val="clear"/>
            <w:tcMar>
              <w:top w:type="dxa" w:w="80"/>
              <w:left w:type="dxa" w:w="160"/>
              <w:bottom w:type="dxa" w:w="10"/>
              <w:right w:type="dxa" w:w="160"/>
            </w:tcMar>
          </w:tcPr>
          <w:p>
            <w:r>
              <w:rPr>
                <w:rFonts w:ascii="Arial" w:cs="Arial" w:eastAsia="Arial" w:hAnsi="Arial"/>
                <w:b/>
                <w:bCs/>
                <w:color w:val="70AD47"/>
                <w:sz w:val="22"/>
                <w:szCs w:val="22"/>
              </w:rPr>
              <w:t xml:space="preserve">Layer 2 — Agent Orchestration</w:t>
            </w:r>
          </w:p>
        </w:tc>
      </w:tr>
      <w:tr>
        <w:tc>
          <w:tcPr>
            <w:tcW w:type="dxa" w:w="9360"/>
            <w:tcBorders>
              <w:top w:val="single" w:color="70AD47" w:sz="1"/>
              <w:left w:val="single" w:color="70AD47" w:sz="1"/>
              <w:bottom w:val="single" w:color="70AD47" w:sz="1"/>
              <w:right w:val="single" w:color="70AD47" w:sz="1"/>
            </w:tcBorders>
            <w:shd w:fill="E2EFDA" w:val="clear"/>
            <w:tcMar>
              <w:top w:type="dxa" w:w="10"/>
              <w:left w:type="dxa" w:w="160"/>
              <w:bottom w:type="dxa" w:w="80"/>
              <w:right w:type="dxa" w:w="160"/>
            </w:tcMar>
          </w:tcPr>
          <w:p>
            <w:r>
              <w:rPr>
                <w:rFonts w:ascii="Arial" w:cs="Arial" w:eastAsia="Arial" w:hAnsi="Arial"/>
                <w:color w:val="2F2F2F"/>
                <w:sz w:val="20"/>
                <w:szCs w:val="20"/>
              </w:rPr>
              <w:t xml:space="preserve">The core decision-making layer. Contains the orchestrator agent(s) responsible for goal decomposition, planning, and task delegation.</w:t>
            </w:r>
          </w:p>
        </w:tc>
      </w:tr>
      <w:tr>
        <w:tc>
          <w:tcPr>
            <w:tcW w:type="dxa" w:w="9360"/>
            <w:tcBorders>
              <w:top w:val="single" w:color="70AD47" w:sz="1"/>
              <w:left w:val="single" w:color="70AD47" w:sz="1"/>
              <w:bottom w:val="single" w:color="70AD47" w:sz="1"/>
              <w:right w:val="single" w:color="70AD47" w:sz="1"/>
            </w:tcBorders>
            <w:shd w:fill="E2EFDA" w:val="clear"/>
            <w:tcMar>
              <w:top w:type="dxa" w:w="10"/>
              <w:left w:type="dxa" w:w="160"/>
              <w:bottom w:type="dxa" w:w="80"/>
              <w:right w:type="dxa" w:w="160"/>
            </w:tcMar>
          </w:tcPr>
          <w:p>
            <w:r>
              <w:rPr>
                <w:rFonts w:ascii="Arial" w:cs="Arial" w:eastAsia="Arial" w:hAnsi="Arial"/>
                <w:color w:val="2F2F2F"/>
                <w:sz w:val="20"/>
                <w:szCs w:val="20"/>
              </w:rPr>
              <w:t xml:space="preserve">Components: Goal parser, planner, task queue, orchestrator agent, subagent registry, memory manager.</w:t>
            </w:r>
          </w:p>
        </w:tc>
      </w:tr>
      <w:tr>
        <w:tc>
          <w:tcPr>
            <w:tcW w:type="dxa" w:w="9360"/>
            <w:tcBorders>
              <w:top w:val="single" w:color="70AD47" w:sz="1"/>
              <w:left w:val="single" w:color="70AD47" w:sz="1"/>
              <w:bottom w:val="single" w:color="70AD47" w:sz="1"/>
              <w:right w:val="single" w:color="70AD47" w:sz="1"/>
            </w:tcBorders>
            <w:shd w:fill="E2EFDA" w:val="clear"/>
            <w:tcMar>
              <w:top w:type="dxa" w:w="10"/>
              <w:left w:type="dxa" w:w="160"/>
              <w:bottom w:type="dxa" w:w="80"/>
              <w:right w:type="dxa" w:w="160"/>
            </w:tcMar>
          </w:tcPr>
          <w:p>
            <w:r>
              <w:rPr>
                <w:rFonts w:ascii="Arial" w:cs="Arial" w:eastAsia="Arial" w:hAnsi="Arial"/>
                <w:color w:val="2F2F2F"/>
                <w:sz w:val="20"/>
                <w:szCs w:val="20"/>
              </w:rPr>
              <w:t xml:space="preserve">Design requirement: Orchestrator must maintain a traceable execution plan. Context window management strategy must be defined. Max recursion depth must be enforced.</w:t>
            </w:r>
          </w:p>
        </w:tc>
      </w:tr>
    </w:tbl>
    <w:p>
      <w:pPr>
        <w:spacing w:after="80" w:before="8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80"/>
              <w:left w:type="dxa" w:w="160"/>
              <w:bottom w:type="dxa" w:w="10"/>
              <w:right w:type="dxa" w:w="160"/>
            </w:tcMar>
          </w:tcPr>
          <w:p>
            <w:r>
              <w:rPr>
                <w:rFonts w:ascii="Arial" w:cs="Arial" w:eastAsia="Arial" w:hAnsi="Arial"/>
                <w:b/>
                <w:bCs/>
                <w:color w:val="C55A11"/>
                <w:sz w:val="22"/>
                <w:szCs w:val="22"/>
              </w:rPr>
              <w:t xml:space="preserve">Layer 3 — Tool &amp; Integration Layer</w:t>
            </w:r>
          </w:p>
        </w:tc>
      </w:tr>
      <w:tr>
        <w:tc>
          <w:tcPr>
            <w:tcW w:type="dxa" w:w="9360"/>
            <w:tcBorders>
              <w:top w:val="single" w:color="C55A11" w:sz="1"/>
              <w:left w:val="single" w:color="C55A11" w:sz="1"/>
              <w:bottom w:val="single" w:color="C55A11" w:sz="1"/>
              <w:right w:val="single" w:color="C55A11" w:sz="1"/>
            </w:tcBorders>
            <w:shd w:fill="FCE4D6" w:val="clear"/>
            <w:tcMar>
              <w:top w:type="dxa" w:w="10"/>
              <w:left w:type="dxa" w:w="160"/>
              <w:bottom w:type="dxa" w:w="80"/>
              <w:right w:type="dxa" w:w="160"/>
            </w:tcMar>
          </w:tcPr>
          <w:p>
            <w:r>
              <w:rPr>
                <w:rFonts w:ascii="Arial" w:cs="Arial" w:eastAsia="Arial" w:hAnsi="Arial"/>
                <w:color w:val="2F2F2F"/>
                <w:sz w:val="20"/>
                <w:szCs w:val="20"/>
              </w:rPr>
              <w:t xml:space="preserve">The execution layer through which agents interact with the world. Every tool is an explicit integration point.</w:t>
            </w:r>
          </w:p>
        </w:tc>
      </w:tr>
      <w:tr>
        <w:tc>
          <w:tcPr>
            <w:tcW w:type="dxa" w:w="9360"/>
            <w:tcBorders>
              <w:top w:val="single" w:color="C55A11" w:sz="1"/>
              <w:left w:val="single" w:color="C55A11" w:sz="1"/>
              <w:bottom w:val="single" w:color="C55A11" w:sz="1"/>
              <w:right w:val="single" w:color="C55A11" w:sz="1"/>
            </w:tcBorders>
            <w:shd w:fill="FCE4D6" w:val="clear"/>
            <w:tcMar>
              <w:top w:type="dxa" w:w="10"/>
              <w:left w:type="dxa" w:w="160"/>
              <w:bottom w:type="dxa" w:w="80"/>
              <w:right w:type="dxa" w:w="160"/>
            </w:tcMar>
          </w:tcPr>
          <w:p>
            <w:r>
              <w:rPr>
                <w:rFonts w:ascii="Arial" w:cs="Arial" w:eastAsia="Arial" w:hAnsi="Arial"/>
                <w:color w:val="2F2F2F"/>
                <w:sz w:val="20"/>
                <w:szCs w:val="20"/>
              </w:rPr>
              <w:t xml:space="preserve">Components: Tool registry, function dispatcher, credential vault integration, API clients, code execution sandbox, RAG retriever.</w:t>
            </w:r>
          </w:p>
        </w:tc>
      </w:tr>
      <w:tr>
        <w:tc>
          <w:tcPr>
            <w:tcW w:type="dxa" w:w="9360"/>
            <w:tcBorders>
              <w:top w:val="single" w:color="C55A11" w:sz="1"/>
              <w:left w:val="single" w:color="C55A11" w:sz="1"/>
              <w:bottom w:val="single" w:color="C55A11" w:sz="1"/>
              <w:right w:val="single" w:color="C55A11" w:sz="1"/>
            </w:tcBorders>
            <w:shd w:fill="FCE4D6" w:val="clear"/>
            <w:tcMar>
              <w:top w:type="dxa" w:w="10"/>
              <w:left w:type="dxa" w:w="160"/>
              <w:bottom w:type="dxa" w:w="80"/>
              <w:right w:type="dxa" w:w="160"/>
            </w:tcMar>
          </w:tcPr>
          <w:p>
            <w:r>
              <w:rPr>
                <w:rFonts w:ascii="Arial" w:cs="Arial" w:eastAsia="Arial" w:hAnsi="Arial"/>
                <w:color w:val="2F2F2F"/>
                <w:sz w:val="20"/>
                <w:szCs w:val="20"/>
              </w:rPr>
              <w:t xml:space="preserve">Design requirement: Each tool must have a defined input/output schema. Tools must enforce least-privilege access. All tool invocations must be logged with full parameters (redacted for secrets).</w:t>
            </w:r>
          </w:p>
        </w:tc>
      </w:tr>
    </w:tbl>
    <w:p>
      <w:pPr>
        <w:spacing w:after="80" w:before="8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2F2F2" w:val="clear"/>
            <w:tcMar>
              <w:top w:type="dxa" w:w="80"/>
              <w:left w:type="dxa" w:w="160"/>
              <w:bottom w:type="dxa" w:w="10"/>
              <w:right w:type="dxa" w:w="160"/>
            </w:tcMar>
          </w:tcPr>
          <w:p>
            <w:r>
              <w:rPr>
                <w:rFonts w:ascii="Arial" w:cs="Arial" w:eastAsia="Arial" w:hAnsi="Arial"/>
                <w:b/>
                <w:bCs/>
                <w:color w:val="1F3864"/>
                <w:sz w:val="22"/>
                <w:szCs w:val="22"/>
              </w:rPr>
              <w:t xml:space="preserve">Layer 4 — Safety &amp; Guardrails</w:t>
            </w:r>
          </w:p>
        </w:tc>
      </w:tr>
      <w:tr>
        <w:tc>
          <w:tcPr>
            <w:tcW w:type="dxa" w:w="9360"/>
            <w:tcBorders>
              <w:top w:val="single" w:color="1F3864" w:sz="1"/>
              <w:left w:val="single" w:color="1F3864" w:sz="1"/>
              <w:bottom w:val="single" w:color="1F3864" w:sz="1"/>
              <w:right w:val="single" w:color="1F3864" w:sz="1"/>
            </w:tcBorders>
            <w:shd w:fill="F2F2F2" w:val="clear"/>
            <w:tcMar>
              <w:top w:type="dxa" w:w="10"/>
              <w:left w:type="dxa" w:w="160"/>
              <w:bottom w:type="dxa" w:w="80"/>
              <w:right w:type="dxa" w:w="160"/>
            </w:tcMar>
          </w:tcPr>
          <w:p>
            <w:r>
              <w:rPr>
                <w:rFonts w:ascii="Arial" w:cs="Arial" w:eastAsia="Arial" w:hAnsi="Arial"/>
                <w:color w:val="2F2F2F"/>
                <w:sz w:val="20"/>
                <w:szCs w:val="20"/>
              </w:rPr>
              <w:t xml:space="preserve">A cross-cutting layer that intercepts all agent actions and evaluates them against policy before execution.</w:t>
            </w:r>
          </w:p>
        </w:tc>
      </w:tr>
      <w:tr>
        <w:tc>
          <w:tcPr>
            <w:tcW w:type="dxa" w:w="9360"/>
            <w:tcBorders>
              <w:top w:val="single" w:color="1F3864" w:sz="1"/>
              <w:left w:val="single" w:color="1F3864" w:sz="1"/>
              <w:bottom w:val="single" w:color="1F3864" w:sz="1"/>
              <w:right w:val="single" w:color="1F3864" w:sz="1"/>
            </w:tcBorders>
            <w:shd w:fill="F2F2F2" w:val="clear"/>
            <w:tcMar>
              <w:top w:type="dxa" w:w="10"/>
              <w:left w:type="dxa" w:w="160"/>
              <w:bottom w:type="dxa" w:w="80"/>
              <w:right w:type="dxa" w:w="160"/>
            </w:tcMar>
          </w:tcPr>
          <w:p>
            <w:r>
              <w:rPr>
                <w:rFonts w:ascii="Arial" w:cs="Arial" w:eastAsia="Arial" w:hAnsi="Arial"/>
                <w:color w:val="2F2F2F"/>
                <w:sz w:val="20"/>
                <w:szCs w:val="20"/>
              </w:rPr>
              <w:t xml:space="preserve">Components: Input guardrails, output guardrails, PII detector, content classifier, HITL approval gateway, rate limiter.</w:t>
            </w:r>
          </w:p>
        </w:tc>
      </w:tr>
      <w:tr>
        <w:tc>
          <w:tcPr>
            <w:tcW w:type="dxa" w:w="9360"/>
            <w:tcBorders>
              <w:top w:val="single" w:color="1F3864" w:sz="1"/>
              <w:left w:val="single" w:color="1F3864" w:sz="1"/>
              <w:bottom w:val="single" w:color="1F3864" w:sz="1"/>
              <w:right w:val="single" w:color="1F3864" w:sz="1"/>
            </w:tcBorders>
            <w:shd w:fill="F2F2F2" w:val="clear"/>
            <w:tcMar>
              <w:top w:type="dxa" w:w="10"/>
              <w:left w:type="dxa" w:w="160"/>
              <w:bottom w:type="dxa" w:w="80"/>
              <w:right w:type="dxa" w:w="160"/>
            </w:tcMar>
          </w:tcPr>
          <w:p>
            <w:r>
              <w:rPr>
                <w:rFonts w:ascii="Arial" w:cs="Arial" w:eastAsia="Arial" w:hAnsi="Arial"/>
                <w:color w:val="2F2F2F"/>
                <w:sz w:val="20"/>
                <w:szCs w:val="20"/>
              </w:rPr>
              <w:t xml:space="preserve">Design requirement: Guardrails must be implemented as a separate, independently testable component. They must not be bypassable by agent instructions.</w:t>
            </w:r>
          </w:p>
        </w:tc>
      </w:tr>
    </w:tbl>
    <w:p>
      <w:pPr>
        <w:spacing w:after="80" w:before="8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10"/>
              <w:right w:type="dxa" w:w="160"/>
            </w:tcMar>
          </w:tcPr>
          <w:p>
            <w:r>
              <w:rPr>
                <w:rFonts w:ascii="Arial" w:cs="Arial" w:eastAsia="Arial" w:hAnsi="Arial"/>
                <w:b/>
                <w:bCs/>
                <w:color w:val="2E75B6"/>
                <w:sz w:val="22"/>
                <w:szCs w:val="22"/>
              </w:rPr>
              <w:t xml:space="preserve">Layer 5 — Observability &amp; Audit</w:t>
            </w:r>
          </w:p>
        </w:tc>
      </w:tr>
      <w:tr>
        <w:tc>
          <w:tcPr>
            <w:tcW w:type="dxa" w:w="9360"/>
            <w:tcBorders>
              <w:top w:val="single" w:color="2E75B6" w:sz="1"/>
              <w:left w:val="single" w:color="2E75B6" w:sz="1"/>
              <w:bottom w:val="single" w:color="2E75B6" w:sz="1"/>
              <w:right w:val="single" w:color="2E75B6" w:sz="1"/>
            </w:tcBorders>
            <w:shd w:fill="D6E4F0" w:val="clear"/>
            <w:tcMar>
              <w:top w:type="dxa" w:w="10"/>
              <w:left w:type="dxa" w:w="160"/>
              <w:bottom w:type="dxa" w:w="80"/>
              <w:right w:type="dxa" w:w="160"/>
            </w:tcMar>
          </w:tcPr>
          <w:p>
            <w:r>
              <w:rPr>
                <w:rFonts w:ascii="Arial" w:cs="Arial" w:eastAsia="Arial" w:hAnsi="Arial"/>
                <w:color w:val="2F2F2F"/>
                <w:sz w:val="20"/>
                <w:szCs w:val="20"/>
              </w:rPr>
              <w:t xml:space="preserve">The monitoring, logging, and explainability layer that enables auditability and operations.</w:t>
            </w:r>
          </w:p>
        </w:tc>
      </w:tr>
      <w:tr>
        <w:tc>
          <w:tcPr>
            <w:tcW w:type="dxa" w:w="9360"/>
            <w:tcBorders>
              <w:top w:val="single" w:color="2E75B6" w:sz="1"/>
              <w:left w:val="single" w:color="2E75B6" w:sz="1"/>
              <w:bottom w:val="single" w:color="2E75B6" w:sz="1"/>
              <w:right w:val="single" w:color="2E75B6" w:sz="1"/>
            </w:tcBorders>
            <w:shd w:fill="D6E4F0" w:val="clear"/>
            <w:tcMar>
              <w:top w:type="dxa" w:w="10"/>
              <w:left w:type="dxa" w:w="160"/>
              <w:bottom w:type="dxa" w:w="80"/>
              <w:right w:type="dxa" w:w="160"/>
            </w:tcMar>
          </w:tcPr>
          <w:p>
            <w:r>
              <w:rPr>
                <w:rFonts w:ascii="Arial" w:cs="Arial" w:eastAsia="Arial" w:hAnsi="Arial"/>
                <w:color w:val="2F2F2F"/>
                <w:sz w:val="20"/>
                <w:szCs w:val="20"/>
              </w:rPr>
              <w:t xml:space="preserve">Components: Structured trace logger, span collector, metrics emitter, alert engine, audit log sink, replay debugger.</w:t>
            </w:r>
          </w:p>
        </w:tc>
      </w:tr>
      <w:tr>
        <w:tc>
          <w:tcPr>
            <w:tcW w:type="dxa" w:w="9360"/>
            <w:tcBorders>
              <w:top w:val="single" w:color="2E75B6" w:sz="1"/>
              <w:left w:val="single" w:color="2E75B6" w:sz="1"/>
              <w:bottom w:val="single" w:color="2E75B6" w:sz="1"/>
              <w:right w:val="single" w:color="2E75B6" w:sz="1"/>
            </w:tcBorders>
            <w:shd w:fill="D6E4F0" w:val="clear"/>
            <w:tcMar>
              <w:top w:type="dxa" w:w="10"/>
              <w:left w:type="dxa" w:w="160"/>
              <w:bottom w:type="dxa" w:w="80"/>
              <w:right w:type="dxa" w:w="160"/>
            </w:tcMar>
          </w:tcPr>
          <w:p>
            <w:r>
              <w:rPr>
                <w:rFonts w:ascii="Arial" w:cs="Arial" w:eastAsia="Arial" w:hAnsi="Arial"/>
                <w:color w:val="2F2F2F"/>
                <w:sz w:val="20"/>
                <w:szCs w:val="20"/>
              </w:rPr>
              <w:t xml:space="preserve">Design requirement: Logs must be tamper-evident and stored in accordance with the organisation's data retention policy.</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3.2.2 Architecture Diagram</w:t>
      </w:r>
    </w:p>
    <w:p>
      <w:r>
        <w:rPr>
          <w:rFonts w:ascii="Arial" w:cs="Arial" w:eastAsia="Arial" w:hAnsi="Arial"/>
          <w:b/>
          <w:bCs/>
          <w:color w:val="2F2F2F"/>
          <w:sz w:val="20"/>
          <w:szCs w:val="20"/>
        </w:rPr>
        <w:t xml:space="preserve">[MANDATORY] </w:t>
      </w:r>
      <w:r>
        <w:rPr>
          <w:rFonts w:ascii="Arial" w:cs="Arial" w:eastAsia="Arial" w:hAnsi="Arial"/>
          <w:color w:val="2F2F2F"/>
          <w:sz w:val="20"/>
          <w:szCs w:val="20"/>
        </w:rPr>
        <w:t xml:space="preserve">Insert a logical architecture diagram here. The diagram must show all five layers, all agent components, all external integrations, and data flow directions. Use the organisation's standard diagramming tool (e.g. Lucidchart, draw.io, Visio).</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800"/>
              <w:left w:type="dxa" w:w="160"/>
              <w:bottom w:type="dxa" w:w="800"/>
              <w:right w:type="dxa" w:w="160"/>
            </w:tcMar>
          </w:tcPr>
          <w:p>
            <w:pPr>
              <w:jc w:val="center"/>
            </w:pPr>
            <w:r>
              <w:rPr>
                <w:rFonts w:ascii="Arial" w:cs="Arial" w:eastAsia="Arial" w:hAnsi="Arial"/>
                <w:i/>
                <w:iCs/>
                <w:color w:val="AAAAAA"/>
                <w:sz w:val="24"/>
                <w:szCs w:val="24"/>
              </w:rPr>
              <w:t xml:space="preserve">[ INSERT ARCHITECTURE DIAGRAM HERE ]</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3.2.3 Component Inventory</w:t>
      </w:r>
    </w:p>
    <w:p>
      <w:r>
        <w:rPr>
          <w:rFonts w:ascii="Arial" w:cs="Arial" w:eastAsia="Arial" w:hAnsi="Arial"/>
          <w:color w:val="2F2F2F"/>
          <w:sz w:val="20"/>
          <w:szCs w:val="20"/>
        </w:rPr>
        <w:t xml:space="preserve">Complete the following inventory for all system components. Add or remove rows as required.</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1800"/>
        <w:gridCol w:w="1800"/>
      </w:tblGrid>
      <w:tr>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 / Service</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 Team</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Hosting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Orchestrator Agent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Orchestration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[LLM Provider / Model]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[Team]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[Cloud / Region]</w:t>
            </w:r>
          </w:p>
        </w:tc>
      </w:tr>
      <w:tr>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Tool Registry</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Tool Layer</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[Implementation]</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[Team]</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[Cloud / Region]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RAG Retriever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Tool Layer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[Vector DB / Search]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[Team]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[Cloud / Region]</w:t>
            </w:r>
          </w:p>
        </w:tc>
      </w:tr>
      <w:tr>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Guardrail Engine</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Safety</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[Library / Service]</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[Team]</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[Cloud / Region]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Audit Log Sink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Observability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[SIEM / Log Platform]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[Team]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[Cloud / Region]</w:t>
            </w:r>
          </w:p>
        </w:tc>
      </w:tr>
      <w:tr>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HITL Gateway</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Safety</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[Workflow / Approval Tool]</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[Team]</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[Cloud / Region]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[Add Component]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r>
    </w:tbl>
    <w:p>
      <w:pPr>
        <w:spacing w:after="200" w:before="200"/>
      </w:pPr>
      <w:r>
        <w:rPr>
          <w:rFonts w:ascii="Arial" w:cs="Arial" w:eastAsia="Arial" w:hAnsi="Arial"/>
          <w:color w:val="2F2F2F"/>
          <w:sz w:val="20"/>
          <w:szCs w:val="20"/>
        </w:rPr>
        <w:t xml:space="preserve"/>
      </w:r>
    </w:p>
    <w:p>
      <w:r>
        <w:br w:type="page"/>
      </w:r>
    </w:p>
    <w:p>
      <w:pPr>
        <w:pStyle w:val="Heading2"/>
        <w:spacing w:after="80" w:before="280"/>
      </w:pPr>
      <w:r>
        <w:rPr>
          <w:rFonts w:ascii="Arial" w:cs="Arial" w:eastAsia="Arial" w:hAnsi="Arial"/>
          <w:b/>
          <w:bCs/>
          <w:color w:val="2E75B6"/>
          <w:sz w:val="28"/>
          <w:szCs w:val="28"/>
        </w:rPr>
        <w:t xml:space="preserve">3.3 Agent Orchestration Patterns</w:t>
      </w:r>
    </w:p>
    <w:p>
      <w:r>
        <w:rPr>
          <w:rFonts w:ascii="Arial" w:cs="Arial" w:eastAsia="Arial" w:hAnsi="Arial"/>
          <w:color w:val="2F2F2F"/>
          <w:sz w:val="20"/>
          <w:szCs w:val="20"/>
        </w:rPr>
        <w:t xml:space="preserve">Document the orchestration pattern used by this system. Select the applicable pattern(s) and provide project-specific detail below each.</w:t>
      </w:r>
    </w:p>
    <w:p>
      <w:pPr>
        <w:spacing w:after="80" w:before="8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3.3.1 Pattern: Single Agent with Tool Use</w:t>
      </w:r>
    </w:p>
    <w:p>
      <w:r>
        <w:rPr>
          <w:rFonts w:ascii="Arial" w:cs="Arial" w:eastAsia="Arial" w:hAnsi="Arial"/>
          <w:color w:val="2F2F2F"/>
          <w:sz w:val="20"/>
          <w:szCs w:val="20"/>
        </w:rPr>
        <w:t xml:space="preserve">A single LLM agent that autonomously selects and invokes tools to fulfil a user goal. The simplest agentic pattern.</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Attribute</w:t>
            </w:r>
          </w:p>
        </w:tc>
        <w:tc>
          <w:tcPr>
            <w:tcW w:type="dxa" w:w="68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Applies to this project</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 Yes    [ ] No</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Agent model &amp; provider</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[Specify]</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Tools available</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[List all tools / functions the agent can call]</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Max tool call depth</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[Number] — enforce in code, not just prompt</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Context window strategy</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sliding window / summarisation / full history]</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Timeout policy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[Max seconds per tool call / total task timeout]</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3.3.2 Pattern: Orchestrator–Subagent (Multi-Agent)</w:t>
      </w:r>
    </w:p>
    <w:p>
      <w:r>
        <w:rPr>
          <w:rFonts w:ascii="Arial" w:cs="Arial" w:eastAsia="Arial" w:hAnsi="Arial"/>
          <w:color w:val="2F2F2F"/>
          <w:sz w:val="20"/>
          <w:szCs w:val="20"/>
        </w:rPr>
        <w:t xml:space="preserve">A controller agent decomposes a high-level goal and delegates subtasks to specialised subagents. Subagents return results to the orchestrator, which synthesises a final output.</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Attribute</w:t>
            </w:r>
          </w:p>
        </w:tc>
        <w:tc>
          <w:tcPr>
            <w:tcW w:type="dxa" w:w="68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Applies to this project</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 Yes    [ ] No</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Orchestrator model</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[Specify model and provider]</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Subagents (name + purpose)</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[List each subagent with its function]</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Inter-agent communication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direct call / message queue / shared memory]</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Trust model</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[How does orchestrator authenticate subagents?]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Max recursion / nesting depth</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[Number]</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Circular dependency prevention</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[Mechanism to prevent infinite loops]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Partial failure handling</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[What happens when a subagent fails?]</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3.3.3 Pattern: Human-in-the-Loop (HITL)</w:t>
      </w:r>
    </w:p>
    <w:p>
      <w:r>
        <w:rPr>
          <w:rFonts w:ascii="Arial" w:cs="Arial" w:eastAsia="Arial" w:hAnsi="Arial"/>
          <w:color w:val="2F2F2F"/>
          <w:sz w:val="20"/>
          <w:szCs w:val="20"/>
        </w:rPr>
        <w:t xml:space="preserve">A hybrid pattern where the agent executes autonomously up to defined decision gates, then pauses for human approval before proceeding with sensitive or irreversible actions.</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Attribute</w:t>
            </w:r>
          </w:p>
        </w:tc>
        <w:tc>
          <w:tcPr>
            <w:tcW w:type="dxa" w:w="68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Applies to this project</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 Yes    [ ] No</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HITL trigger conditions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[List all conditions that pause for human approval]</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Approval interface</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[Slack / Email / Portal / API]</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Approver role(s)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[Who can approve — role-based, not individual names]</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Approval timeout</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[What happens if no response within X minutes?]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Escalation path</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[Where does it escalate on timeout or rejection?]</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Audit of decisions</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[How are approvals and rejections logged?]</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3.3.4 Context &amp; Memory Design</w:t>
      </w:r>
    </w:p>
    <w:p>
      <w:r>
        <w:rPr>
          <w:rFonts w:ascii="Arial" w:cs="Arial" w:eastAsia="Arial" w:hAnsi="Arial"/>
          <w:color w:val="2F2F2F"/>
          <w:sz w:val="20"/>
          <w:szCs w:val="20"/>
        </w:rPr>
        <w:t xml:space="preserve">Specify how the agent manages context across turns and sessions. Uncontrolled context accumulation is a common source of hallucination, PII leakage, and performance degradation.</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Memory Type</w:t>
            </w:r>
          </w:p>
        </w:tc>
        <w:tc>
          <w:tcPr>
            <w:tcW w:type="dxa" w:w="68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Decision</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In-context (working memory)</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[Max token budget; truncation strategy; summarisation approach]</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Short-term session memory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[Session scoping; cross-turn storage mechanism; TTL]</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Long-term persistent memory</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[Storage system; indexing; retrieval mechanism; purge policy]</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Agent-to-agent shared memory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[Scope; access controls; conflict resolution]</w:t>
            </w:r>
          </w:p>
        </w:tc>
      </w:tr>
      <w:tr>
        <w:tc>
          <w:tcPr>
            <w:tcW w:type="dxa" w:w="2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External knowledge (RAG)</w:t>
            </w:r>
          </w:p>
        </w:tc>
        <w:tc>
          <w:tcPr>
            <w:tcW w:type="dxa" w:w="68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[Retrieval mechanism; chunk size; top-k; reranking; staleness]</w:t>
            </w:r>
          </w:p>
        </w:tc>
      </w:tr>
    </w:tbl>
    <w:p>
      <w:pPr>
        <w:spacing w:after="200" w:before="200"/>
      </w:pPr>
      <w:r>
        <w:rPr>
          <w:rFonts w:ascii="Arial" w:cs="Arial" w:eastAsia="Arial" w:hAnsi="Arial"/>
          <w:color w:val="2F2F2F"/>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4. Data Flows &amp; Integrations</w:t>
      </w:r>
    </w:p>
    <w:p>
      <w:pPr>
        <w:pStyle w:val="Heading2"/>
        <w:spacing w:after="80" w:before="280"/>
      </w:pPr>
      <w:r>
        <w:rPr>
          <w:rFonts w:ascii="Arial" w:cs="Arial" w:eastAsia="Arial" w:hAnsi="Arial"/>
          <w:b/>
          <w:bCs/>
          <w:color w:val="2E75B6"/>
          <w:sz w:val="28"/>
          <w:szCs w:val="28"/>
        </w:rPr>
        <w:t xml:space="preserve">4.1 Data Flow Diagram</w:t>
      </w:r>
    </w:p>
    <w:p>
      <w:r>
        <w:rPr>
          <w:rFonts w:ascii="Arial" w:cs="Arial" w:eastAsia="Arial" w:hAnsi="Arial"/>
          <w:b/>
          <w:bCs/>
          <w:color w:val="2F2F2F"/>
          <w:sz w:val="20"/>
          <w:szCs w:val="20"/>
        </w:rPr>
        <w:t xml:space="preserve">[MANDATORY] </w:t>
      </w:r>
      <w:r>
        <w:rPr>
          <w:rFonts w:ascii="Arial" w:cs="Arial" w:eastAsia="Arial" w:hAnsi="Arial"/>
          <w:color w:val="2F2F2F"/>
          <w:sz w:val="20"/>
          <w:szCs w:val="20"/>
        </w:rPr>
        <w:t xml:space="preserve">Provide a Data Flow Diagram (DFD) showing all data inputs, outputs, transformations, and storage interactions. The DFD must include data classification labels at each boundary crossing.</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800"/>
              <w:left w:type="dxa" w:w="160"/>
              <w:bottom w:type="dxa" w:w="800"/>
              <w:right w:type="dxa" w:w="160"/>
            </w:tcMar>
          </w:tcPr>
          <w:p>
            <w:pPr>
              <w:jc w:val="center"/>
            </w:pPr>
            <w:r>
              <w:rPr>
                <w:rFonts w:ascii="Arial" w:cs="Arial" w:eastAsia="Arial" w:hAnsi="Arial"/>
                <w:i/>
                <w:iCs/>
                <w:color w:val="AAAAAA"/>
                <w:sz w:val="24"/>
                <w:szCs w:val="24"/>
              </w:rPr>
              <w:t xml:space="preserve">[ INSERT DATA FLOW DIAGRAM HERE ]</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4.2 Data Classification</w:t>
      </w:r>
    </w:p>
    <w:p>
      <w:r>
        <w:rPr>
          <w:rFonts w:ascii="Arial" w:cs="Arial" w:eastAsia="Arial" w:hAnsi="Arial"/>
          <w:color w:val="2F2F2F"/>
          <w:sz w:val="20"/>
          <w:szCs w:val="20"/>
        </w:rPr>
        <w:t xml:space="preserve">Classify all data handled by the system. Use the organisation's standard data classification scheme. Any data classified Confidential or above requires additional ARB scrutiny.</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3960"/>
      </w:tblGrid>
      <w:tr>
        <w:tc>
          <w:tcPr>
            <w:tcW w:type="dxa" w:w="2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Element</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Classification</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Contains PII?</w:t>
            </w:r>
          </w:p>
        </w:tc>
        <w:tc>
          <w:tcPr>
            <w:tcW w:type="dxa" w:w="39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Handling Requirements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User prompt / query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Confidential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Possibly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Redact PII before logging; no retention beyond session</w:t>
            </w:r>
          </w:p>
        </w:tc>
      </w:tr>
      <w:tr>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Agent reasoning / CoT trace</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Internal</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Possibly</w:t>
            </w:r>
          </w:p>
        </w:tc>
        <w:tc>
          <w:tcPr>
            <w:tcW w:type="dxa" w:w="39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Structured logging with PII scan</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Tool call parameters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Internal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Possibly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Log with redaction of sensitive fields</w:t>
            </w:r>
          </w:p>
        </w:tc>
      </w:tr>
      <w:tr>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Tool call responses</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Internal</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Possibly</w:t>
            </w:r>
          </w:p>
        </w:tc>
        <w:tc>
          <w:tcPr>
            <w:tcW w:type="dxa" w:w="39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Log summary; full response in secure trace store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Final agent output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Confidential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Possibly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Output filter before delivery to user</w:t>
            </w:r>
          </w:p>
        </w:tc>
      </w:tr>
      <w:tr>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Agent memory / state</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Confidential</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Possibly</w:t>
            </w:r>
          </w:p>
        </w:tc>
        <w:tc>
          <w:tcPr>
            <w:tcW w:type="dxa" w:w="39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Encrypted at rest; TTL enforced</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RAG source documents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[Classify]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[Specify access controls and update frequency]</w:t>
            </w:r>
          </w:p>
        </w:tc>
      </w:tr>
      <w:tr>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[Add data element]</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39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4.3 Integration Inventory</w:t>
      </w:r>
    </w:p>
    <w:p>
      <w:r>
        <w:rPr>
          <w:rFonts w:ascii="Arial" w:cs="Arial" w:eastAsia="Arial" w:hAnsi="Arial"/>
          <w:color w:val="2F2F2F"/>
          <w:sz w:val="20"/>
          <w:szCs w:val="20"/>
        </w:rPr>
        <w:t xml:space="preserve">Document every external system, API, or data source the agent interacts with. Each integration is a risk surface and must be assessed.</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1800"/>
      </w:tblGrid>
      <w:tr>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 / API</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Direction</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Protocol</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Auth Method</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Sensitivity</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Rate Limits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LLM Provider API</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Outbound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HTTPS/REST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API Key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[Tokens/min]</w:t>
            </w:r>
          </w:p>
        </w:tc>
      </w:tr>
      <w:tr>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[Internal DB]</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Read/Write</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SQL/TLS</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Service Account</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High</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[Queries/s]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[External API]</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Outbound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HTTPS/REST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[Auth Method]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[Level]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[Rate Limit]</w:t>
            </w:r>
          </w:p>
        </w:tc>
      </w:tr>
      <w:tr>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Email / Notification</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Outbound</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SMTP/API</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[Auth Method]</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Medium</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[Per day]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[Add integration]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4.4 Data Residency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Data residency requirements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[Geography / region constraints for data storage and processing]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Cross-border transfer restrictions</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[Any data that cannot leave a jurisdiction; controls applied]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Regulatory frameworks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GDPR, HIPAA, DPDPA, SOC 2 — list all applicable]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Data retention policy</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[Retention period for each data category; automated purge mechanism]</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Data Processing Agreement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 In place with LLM provider     [ ] Pending     [ ] Not required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Right to erasure (RTBF)</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[How are deletion requests handled for AI-processed data?]</w:t>
            </w:r>
          </w:p>
        </w:tc>
      </w:tr>
    </w:tbl>
    <w:p>
      <w:pPr>
        <w:spacing w:after="200" w:before="200"/>
      </w:pPr>
      <w:r>
        <w:rPr>
          <w:rFonts w:ascii="Arial" w:cs="Arial" w:eastAsia="Arial" w:hAnsi="Arial"/>
          <w:color w:val="2F2F2F"/>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5. Security, Trust &amp; Guardrails</w:t>
      </w:r>
    </w:p>
    <w:p>
      <w:pPr>
        <w:pStyle w:val="Heading2"/>
        <w:spacing w:after="80" w:before="280"/>
      </w:pPr>
      <w:r>
        <w:rPr>
          <w:rFonts w:ascii="Arial" w:cs="Arial" w:eastAsia="Arial" w:hAnsi="Arial"/>
          <w:b/>
          <w:bCs/>
          <w:color w:val="2E75B6"/>
          <w:sz w:val="28"/>
          <w:szCs w:val="28"/>
        </w:rPr>
        <w:t xml:space="preserve">5.1 Threat Model</w:t>
      </w:r>
    </w:p>
    <w:p>
      <w:r>
        <w:rPr>
          <w:rFonts w:ascii="Arial" w:cs="Arial" w:eastAsia="Arial" w:hAnsi="Arial"/>
          <w:color w:val="2F2F2F"/>
          <w:sz w:val="20"/>
          <w:szCs w:val="20"/>
        </w:rPr>
        <w:t xml:space="preserve">The following threat categories are applicable to Agentic AI systems. For each, document whether the threat is applicable, the likelihood, the impact, and the mitigating control.</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720"/>
        <w:gridCol w:w="5520"/>
      </w:tblGrid>
      <w:tr>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Threat</w:t>
            </w:r>
          </w:p>
        </w:tc>
        <w:tc>
          <w:tcPr>
            <w:tcW w:type="dxa" w:w="7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7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5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Mitigating Control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Prompt Injection (direct)</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Input validation; system prompt hardening; instruction hierarchy enforcement</w:t>
            </w:r>
          </w:p>
        </w:tc>
      </w:tr>
      <w:tr>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Prompt Injection (indirect/tool)</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5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Tool output sanitisation; treat all external content as untrusted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Goal misgeneralisation</w:t>
            </w:r>
          </w:p>
        </w:tc>
        <w:tc>
          <w:tcPr>
            <w:tcW w:type="dxa" w:w="720"/>
            <w:tcBorders>
              <w:top w:val="single" w:color="CCCCCC" w:sz="1"/>
              <w:left w:val="single" w:color="CCCCCC" w:sz="1"/>
              <w:bottom w:val="single" w:color="CCCCCC" w:sz="1"/>
              <w:right w:val="single" w:color="CCCCCC" w:sz="1"/>
            </w:tcBorders>
            <w:shd w:fill="FFF4E0" w:val="clear"/>
            <w:tcMar>
              <w:top w:type="dxa" w:w="100"/>
              <w:left w:type="dxa" w:w="140"/>
              <w:bottom w:type="dxa" w:w="100"/>
              <w:right w:type="dxa" w:w="140"/>
            </w:tcMar>
          </w:tcPr>
          <w:p>
            <w:r>
              <w:rPr>
                <w:rFonts w:ascii="Arial" w:cs="Arial" w:eastAsia="Arial" w:hAnsi="Arial"/>
                <w:color w:val="2F2F2F"/>
                <w:sz w:val="19"/>
                <w:szCs w:val="19"/>
              </w:rPr>
              <w:t xml:space="preserve">Medium</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Constrained action space; HITL for novel situations; regular red-teaming</w:t>
            </w:r>
          </w:p>
        </w:tc>
      </w:tr>
      <w:tr>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Data exfiltration via agent output</w:t>
            </w:r>
          </w:p>
        </w:tc>
        <w:tc>
          <w:tcPr>
            <w:tcW w:type="dxa" w:w="720"/>
            <w:tcBorders>
              <w:top w:val="single" w:color="CCCCCC" w:sz="1"/>
              <w:left w:val="single" w:color="CCCCCC" w:sz="1"/>
              <w:bottom w:val="single" w:color="CCCCCC" w:sz="1"/>
              <w:right w:val="single" w:color="CCCCCC" w:sz="1"/>
            </w:tcBorders>
            <w:shd w:fill="FFF4E0" w:val="clear"/>
            <w:tcMar>
              <w:top w:type="dxa" w:w="100"/>
              <w:left w:type="dxa" w:w="140"/>
              <w:bottom w:type="dxa" w:w="100"/>
              <w:right w:type="dxa" w:w="140"/>
            </w:tcMar>
          </w:tcPr>
          <w:p>
            <w:r>
              <w:rPr>
                <w:rFonts w:ascii="Arial" w:cs="Arial" w:eastAsia="Arial" w:hAnsi="Arial"/>
                <w:color w:val="2F2F2F"/>
                <w:sz w:val="19"/>
                <w:szCs w:val="19"/>
              </w:rPr>
              <w:t xml:space="preserve">Medium</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5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Output classifier; DLP scanning; egress monitoring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Credential theft from tool calls</w:t>
            </w:r>
          </w:p>
        </w:tc>
        <w:tc>
          <w:tcPr>
            <w:tcW w:type="dxa" w:w="720"/>
            <w:tcBorders>
              <w:top w:val="single" w:color="CCCCCC" w:sz="1"/>
              <w:left w:val="single" w:color="CCCCCC" w:sz="1"/>
              <w:bottom w:val="single" w:color="CCCCCC" w:sz="1"/>
              <w:right w:val="single" w:color="CCCCCC" w:sz="1"/>
            </w:tcBorders>
            <w:shd w:fill="FFF4E0" w:val="clear"/>
            <w:tcMar>
              <w:top w:type="dxa" w:w="100"/>
              <w:left w:type="dxa" w:w="140"/>
              <w:bottom w:type="dxa" w:w="100"/>
              <w:right w:type="dxa" w:w="140"/>
            </w:tcMar>
          </w:tcPr>
          <w:p>
            <w:r>
              <w:rPr>
                <w:rFonts w:ascii="Arial" w:cs="Arial" w:eastAsia="Arial" w:hAnsi="Arial"/>
                <w:color w:val="2F2F2F"/>
                <w:sz w:val="19"/>
                <w:szCs w:val="19"/>
              </w:rPr>
              <w:t xml:space="preserve">Medium</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Ephemeral credentials; secrets vault; no secrets in prompts or logs</w:t>
            </w:r>
          </w:p>
        </w:tc>
      </w:tr>
      <w:tr>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Privilege escalation by agent</w:t>
            </w:r>
          </w:p>
        </w:tc>
        <w:tc>
          <w:tcPr>
            <w:tcW w:type="dxa" w:w="720"/>
            <w:tcBorders>
              <w:top w:val="single" w:color="CCCCCC" w:sz="1"/>
              <w:left w:val="single" w:color="CCCCCC" w:sz="1"/>
              <w:bottom w:val="single" w:color="CCCCCC" w:sz="1"/>
              <w:right w:val="single" w:color="CCCCCC" w:sz="1"/>
            </w:tcBorders>
            <w:shd w:fill="EAF4EA" w:val="clear"/>
            <w:tcMar>
              <w:top w:type="dxa" w:w="100"/>
              <w:left w:type="dxa" w:w="140"/>
              <w:bottom w:type="dxa" w:w="100"/>
              <w:right w:type="dxa" w:w="140"/>
            </w:tcMar>
          </w:tcPr>
          <w:p>
            <w:r>
              <w:rPr>
                <w:rFonts w:ascii="Arial" w:cs="Arial" w:eastAsia="Arial" w:hAnsi="Arial"/>
                <w:color w:val="2F2F2F"/>
                <w:sz w:val="19"/>
                <w:szCs w:val="19"/>
              </w:rPr>
              <w:t xml:space="preserve">Low</w:t>
            </w:r>
          </w:p>
        </w:tc>
        <w:tc>
          <w:tcPr>
            <w:tcW w:type="dxa" w:w="720"/>
            <w:tcBorders>
              <w:top w:val="single" w:color="CCCCCC" w:sz="1"/>
              <w:left w:val="single" w:color="CCCCCC" w:sz="1"/>
              <w:bottom w:val="single" w:color="CCCCCC" w:sz="1"/>
              <w:right w:val="single" w:color="CCCCCC" w:sz="1"/>
            </w:tcBorders>
            <w:shd w:fill="EE1111" w:val="clear"/>
            <w:tcMar>
              <w:top w:type="dxa" w:w="100"/>
              <w:left w:type="dxa" w:w="140"/>
              <w:bottom w:type="dxa" w:w="100"/>
              <w:right w:type="dxa" w:w="140"/>
            </w:tcMar>
          </w:tcPr>
          <w:p>
            <w:r>
              <w:rPr>
                <w:rFonts w:ascii="Arial" w:cs="Arial" w:eastAsia="Arial" w:hAnsi="Arial"/>
                <w:color w:val="2F2F2F"/>
                <w:sz w:val="19"/>
                <w:szCs w:val="19"/>
              </w:rPr>
              <w:t xml:space="preserve">Critical</w:t>
            </w:r>
          </w:p>
        </w:tc>
        <w:tc>
          <w:tcPr>
            <w:tcW w:type="dxa" w:w="5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RBAC; deny-by-default permissions; continuous permission audit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Denial of service via agent loop</w:t>
            </w:r>
          </w:p>
        </w:tc>
        <w:tc>
          <w:tcPr>
            <w:tcW w:type="dxa" w:w="720"/>
            <w:tcBorders>
              <w:top w:val="single" w:color="CCCCCC" w:sz="1"/>
              <w:left w:val="single" w:color="CCCCCC" w:sz="1"/>
              <w:bottom w:val="single" w:color="CCCCCC" w:sz="1"/>
              <w:right w:val="single" w:color="CCCCCC" w:sz="1"/>
            </w:tcBorders>
            <w:shd w:fill="FFF4E0" w:val="clear"/>
            <w:tcMar>
              <w:top w:type="dxa" w:w="100"/>
              <w:left w:type="dxa" w:w="140"/>
              <w:bottom w:type="dxa" w:w="100"/>
              <w:right w:type="dxa" w:w="140"/>
            </w:tcMar>
          </w:tcPr>
          <w:p>
            <w:r>
              <w:rPr>
                <w:rFonts w:ascii="Arial" w:cs="Arial" w:eastAsia="Arial" w:hAnsi="Arial"/>
                <w:color w:val="2F2F2F"/>
                <w:sz w:val="19"/>
                <w:szCs w:val="19"/>
              </w:rPr>
              <w:t xml:space="preserve">Medium</w:t>
            </w:r>
          </w:p>
        </w:tc>
        <w:tc>
          <w:tcPr>
            <w:tcW w:type="dxa" w:w="720"/>
            <w:tcBorders>
              <w:top w:val="single" w:color="CCCCCC" w:sz="1"/>
              <w:left w:val="single" w:color="CCCCCC" w:sz="1"/>
              <w:bottom w:val="single" w:color="CCCCCC" w:sz="1"/>
              <w:right w:val="single" w:color="CCCCCC" w:sz="1"/>
            </w:tcBorders>
            <w:shd w:fill="FFF4E0" w:val="clear"/>
            <w:tcMar>
              <w:top w:type="dxa" w:w="100"/>
              <w:left w:type="dxa" w:w="140"/>
              <w:bottom w:type="dxa" w:w="100"/>
              <w:right w:type="dxa" w:w="140"/>
            </w:tcMar>
          </w:tcPr>
          <w:p>
            <w:r>
              <w:rPr>
                <w:rFonts w:ascii="Arial" w:cs="Arial" w:eastAsia="Arial" w:hAnsi="Arial"/>
                <w:color w:val="2F2F2F"/>
                <w:sz w:val="19"/>
                <w:szCs w:val="19"/>
              </w:rPr>
              <w:t xml:space="preserve">Medium</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Max iteration limits; circuit breaker; cost threshold alerts</w:t>
            </w:r>
          </w:p>
        </w:tc>
      </w:tr>
      <w:tr>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Supply chain attack (tool/plugin)</w:t>
            </w:r>
          </w:p>
        </w:tc>
        <w:tc>
          <w:tcPr>
            <w:tcW w:type="dxa" w:w="720"/>
            <w:tcBorders>
              <w:top w:val="single" w:color="CCCCCC" w:sz="1"/>
              <w:left w:val="single" w:color="CCCCCC" w:sz="1"/>
              <w:bottom w:val="single" w:color="CCCCCC" w:sz="1"/>
              <w:right w:val="single" w:color="CCCCCC" w:sz="1"/>
            </w:tcBorders>
            <w:shd w:fill="EAF4EA" w:val="clear"/>
            <w:tcMar>
              <w:top w:type="dxa" w:w="100"/>
              <w:left w:type="dxa" w:w="140"/>
              <w:bottom w:type="dxa" w:w="100"/>
              <w:right w:type="dxa" w:w="140"/>
            </w:tcMar>
          </w:tcPr>
          <w:p>
            <w:r>
              <w:rPr>
                <w:rFonts w:ascii="Arial" w:cs="Arial" w:eastAsia="Arial" w:hAnsi="Arial"/>
                <w:color w:val="2F2F2F"/>
                <w:sz w:val="19"/>
                <w:szCs w:val="19"/>
              </w:rPr>
              <w:t xml:space="preserve">Low</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5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Tool allowlist; code review of integrations; dependency scanning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Hallucination causing harmful action</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720"/>
            <w:tcBorders>
              <w:top w:val="single" w:color="CCCCCC" w:sz="1"/>
              <w:left w:val="single" w:color="CCCCCC" w:sz="1"/>
              <w:bottom w:val="single" w:color="CCCCCC" w:sz="1"/>
              <w:right w:val="single" w:color="CCCCCC" w:sz="1"/>
            </w:tcBorders>
            <w:shd w:fill="FFF4E0" w:val="clear"/>
            <w:tcMar>
              <w:top w:type="dxa" w:w="100"/>
              <w:left w:type="dxa" w:w="140"/>
              <w:bottom w:type="dxa" w:w="100"/>
              <w:right w:type="dxa" w:w="140"/>
            </w:tcMar>
          </w:tcPr>
          <w:p>
            <w:r>
              <w:rPr>
                <w:rFonts w:ascii="Arial" w:cs="Arial" w:eastAsia="Arial" w:hAnsi="Arial"/>
                <w:color w:val="2F2F2F"/>
                <w:sz w:val="19"/>
                <w:szCs w:val="19"/>
              </w:rPr>
              <w:t xml:space="preserve">Medium</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19"/>
                <w:szCs w:val="19"/>
              </w:rPr>
              <w:t xml:space="preserve">Grounding via RAG; HITL for critical decisions; output fact-checking</w:t>
            </w:r>
          </w:p>
        </w:tc>
      </w:tr>
      <w:tr>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Jailbreak via user input</w:t>
            </w:r>
          </w:p>
        </w:tc>
        <w:tc>
          <w:tcPr>
            <w:tcW w:type="dxa" w:w="720"/>
            <w:tcBorders>
              <w:top w:val="single" w:color="CCCCCC" w:sz="1"/>
              <w:left w:val="single" w:color="CCCCCC" w:sz="1"/>
              <w:bottom w:val="single" w:color="CCCCCC" w:sz="1"/>
              <w:right w:val="single" w:color="CCCCCC" w:sz="1"/>
            </w:tcBorders>
            <w:shd w:fill="FFF4E0" w:val="clear"/>
            <w:tcMar>
              <w:top w:type="dxa" w:w="100"/>
              <w:left w:type="dxa" w:w="140"/>
              <w:bottom w:type="dxa" w:w="100"/>
              <w:right w:type="dxa" w:w="140"/>
            </w:tcMar>
          </w:tcPr>
          <w:p>
            <w:r>
              <w:rPr>
                <w:rFonts w:ascii="Arial" w:cs="Arial" w:eastAsia="Arial" w:hAnsi="Arial"/>
                <w:color w:val="2F2F2F"/>
                <w:sz w:val="19"/>
                <w:szCs w:val="19"/>
              </w:rPr>
              <w:t xml:space="preserve">Medium</w:t>
            </w:r>
          </w:p>
        </w:tc>
        <w:tc>
          <w:tcPr>
            <w:tcW w:type="dxa" w:w="72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color w:val="2F2F2F"/>
                <w:sz w:val="19"/>
                <w:szCs w:val="19"/>
              </w:rPr>
              <w:t xml:space="preserve">High</w:t>
            </w:r>
          </w:p>
        </w:tc>
        <w:tc>
          <w:tcPr>
            <w:tcW w:type="dxa" w:w="5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color w:val="2F2F2F"/>
                <w:sz w:val="19"/>
                <w:szCs w:val="19"/>
              </w:rPr>
              <w:t xml:space="preserve">Input guardrails; behaviour monitoring; user session anomaly detection</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5.2 Authentication &amp;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User authentication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[SSO / OAuth 2.0 / SAML — specify provider and MFA requirements]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Agent identity</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[How is the agent identity established for tool calls? Service account / JWT / API key]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Tool authorisation model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[RBAC / ABAC — specify permission model for each tool category]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Secrets management</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[Vault provider and mechanism — no hardcoded credentials permitted]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Agent-to-agent authentication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[How are subagents verified by the orchestrator?]</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Session management</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[Token TTL; refresh policy; revocation mechanism]</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5.3 Guardrails Design</w:t>
      </w:r>
    </w:p>
    <w:p>
      <w:pPr>
        <w:pStyle w:val="Heading3"/>
        <w:spacing w:after="60" w:before="200"/>
      </w:pPr>
      <w:r>
        <w:rPr>
          <w:rFonts w:ascii="Arial" w:cs="Arial" w:eastAsia="Arial" w:hAnsi="Arial"/>
          <w:b/>
          <w:bCs/>
          <w:color w:val="2F2F2F"/>
          <w:sz w:val="24"/>
          <w:szCs w:val="24"/>
        </w:rPr>
        <w:t xml:space="preserve">5.3.1 Input Guardrails</w:t>
      </w:r>
    </w:p>
    <w:p>
      <w:r>
        <w:rPr>
          <w:rFonts w:ascii="Arial" w:cs="Arial" w:eastAsia="Arial" w:hAnsi="Arial"/>
          <w:color w:val="2F2F2F"/>
          <w:sz w:val="20"/>
          <w:szCs w:val="20"/>
        </w:rPr>
        <w:t xml:space="preserve">Input guardrails are applied to all content entering the agent (user messages, tool responses, retrieved documents) before it is processed.</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Guardrail</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Enabled?</w:t>
            </w:r>
          </w:p>
        </w:tc>
        <w:tc>
          <w:tcPr>
            <w:tcW w:type="dxa" w:w="50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Implementation Detail</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Prompt injection detection</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[Library / heuristic / model-based — specify]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PII detection &amp; redaction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[Tool / regex / NER model — specify]</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Malicious content classifier</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[Categories blocked; model used]</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Input length / token limits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[Max tokens per turn; hard limit enforcement]</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Allowlist / blocklist filtering</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[Topics, commands, or patterns blocked]</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Tool output sanitisation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[HTML stripping; JSON schema validation; size limits]</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5.3.2 Output Guardrails</w:t>
      </w:r>
    </w:p>
    <w:p>
      <w:r>
        <w:rPr>
          <w:rFonts w:ascii="Arial" w:cs="Arial" w:eastAsia="Arial" w:hAnsi="Arial"/>
          <w:color w:val="2F2F2F"/>
          <w:sz w:val="20"/>
          <w:szCs w:val="20"/>
        </w:rPr>
        <w:t xml:space="preserve">Output guardrails intercept the agent's proposed response or action before it is delivered to the user or executed.</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Guardrail</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Enabled?</w:t>
            </w:r>
          </w:p>
        </w:tc>
        <w:tc>
          <w:tcPr>
            <w:tcW w:type="dxa" w:w="50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Implementation Detail</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PII detection in output</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[Scan and redact before delivery]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Toxicity / harm classifier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[Model / service — specify threshold]</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Factual grounding check</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[RAG citation verification; confidence scoring]</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Action consequence analysis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[Pre-execution risk scoring for proposed actions]</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Sensitive action HITL gate</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2F2F2F"/>
                <w:sz w:val="20"/>
                <w:szCs w:val="20"/>
              </w:rPr>
              <w:t xml:space="preserve">[Trigger conditions — see Section 3.3.3]</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Output schema validation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[For structured outputs — JSON schema enforcement]</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5.3.3 Behaviour Policies</w:t>
      </w:r>
    </w:p>
    <w:p>
      <w:r>
        <w:rPr>
          <w:rFonts w:ascii="Arial" w:cs="Arial" w:eastAsia="Arial" w:hAnsi="Arial"/>
          <w:color w:val="2F2F2F"/>
          <w:sz w:val="20"/>
          <w:szCs w:val="20"/>
        </w:rPr>
        <w:t xml:space="preserve">Define the explicit behavioural policies encoded in the agent's system prompt and enforced at runtime. These must be version-controlled and reviewed in the ARB submission.</w:t>
      </w:r>
    </w:p>
    <w:p>
      <w:pPr>
        <w:spacing w:after="60" w:before="60"/>
      </w:pPr>
      <w:r>
        <w:rPr>
          <w:rFonts w:ascii="Arial" w:cs="Arial" w:eastAsia="Arial" w:hAnsi="Arial"/>
          <w:color w:val="2F2F2F"/>
          <w:sz w:val="20"/>
          <w:szCs w:val="20"/>
        </w:rPr>
        <w:t xml:space="preserve"/>
      </w:r>
    </w:p>
    <w:p>
      <w:pPr>
        <w:pStyle w:val="ListParagraph"/>
        <w:numPr>
          <w:ilvl w:val="0"/>
          <w:numId w:val="2"/>
        </w:numPr>
        <w:spacing w:after="40" w:before="40"/>
      </w:pPr>
      <w:r>
        <w:rPr>
          <w:rFonts w:ascii="Arial" w:cs="Arial" w:eastAsia="Arial" w:hAnsi="Arial"/>
          <w:color w:val="2F2F2F"/>
          <w:sz w:val="20"/>
          <w:szCs w:val="20"/>
        </w:rPr>
        <w:t xml:space="preserve">Identity policy: What the agent will always disclose about its AI nature when asked</w:t>
      </w:r>
    </w:p>
    <w:p>
      <w:pPr>
        <w:pStyle w:val="ListParagraph"/>
        <w:numPr>
          <w:ilvl w:val="0"/>
          <w:numId w:val="2"/>
        </w:numPr>
        <w:spacing w:after="40" w:before="40"/>
      </w:pPr>
      <w:r>
        <w:rPr>
          <w:rFonts w:ascii="Arial" w:cs="Arial" w:eastAsia="Arial" w:hAnsi="Arial"/>
          <w:color w:val="2F2F2F"/>
          <w:sz w:val="20"/>
          <w:szCs w:val="20"/>
        </w:rPr>
        <w:t xml:space="preserve">Refusal policy: Categories of requests the agent will always decline</w:t>
      </w:r>
    </w:p>
    <w:p>
      <w:pPr>
        <w:pStyle w:val="ListParagraph"/>
        <w:numPr>
          <w:ilvl w:val="0"/>
          <w:numId w:val="2"/>
        </w:numPr>
        <w:spacing w:after="40" w:before="40"/>
      </w:pPr>
      <w:r>
        <w:rPr>
          <w:rFonts w:ascii="Arial" w:cs="Arial" w:eastAsia="Arial" w:hAnsi="Arial"/>
          <w:color w:val="2F2F2F"/>
          <w:sz w:val="20"/>
          <w:szCs w:val="20"/>
        </w:rPr>
        <w:t xml:space="preserve">Escalation policy: Conditions under which the agent hands off to a human</w:t>
      </w:r>
    </w:p>
    <w:p>
      <w:pPr>
        <w:pStyle w:val="ListParagraph"/>
        <w:numPr>
          <w:ilvl w:val="0"/>
          <w:numId w:val="2"/>
        </w:numPr>
        <w:spacing w:after="40" w:before="40"/>
      </w:pPr>
      <w:r>
        <w:rPr>
          <w:rFonts w:ascii="Arial" w:cs="Arial" w:eastAsia="Arial" w:hAnsi="Arial"/>
          <w:color w:val="2F2F2F"/>
          <w:sz w:val="20"/>
          <w:szCs w:val="20"/>
        </w:rPr>
        <w:t xml:space="preserve">Confidentiality policy: Information the agent will never reveal (system prompt, credentials, internal data)</w:t>
      </w:r>
    </w:p>
    <w:p>
      <w:pPr>
        <w:pStyle w:val="ListParagraph"/>
        <w:numPr>
          <w:ilvl w:val="0"/>
          <w:numId w:val="2"/>
        </w:numPr>
        <w:spacing w:after="40" w:before="40"/>
      </w:pPr>
      <w:r>
        <w:rPr>
          <w:rFonts w:ascii="Arial" w:cs="Arial" w:eastAsia="Arial" w:hAnsi="Arial"/>
          <w:color w:val="2F2F2F"/>
          <w:sz w:val="20"/>
          <w:szCs w:val="20"/>
        </w:rPr>
        <w:t xml:space="preserve">Scope boundary policy: Topics and actions explicitly out of scope for this agent</w:t>
      </w:r>
    </w:p>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5.4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Network exposure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[Internal only / Internet-facing — specify]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TLS/mTLS requirements</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[Min TLS version; certificate management]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Egress controls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[Allowlist of destinations the agent can reach; firewall rules]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API gateway</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[Gateway in use; WAF configuration; DDoS protection]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VPN / private connectivity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[For on-premise integrations — specify VPN or private link]</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IP allowlisting</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[For LLM provider and external API calls]</w:t>
            </w:r>
          </w:p>
        </w:tc>
      </w:tr>
    </w:tbl>
    <w:p>
      <w:pPr>
        <w:spacing w:after="200" w:before="200"/>
      </w:pPr>
      <w:r>
        <w:rPr>
          <w:rFonts w:ascii="Arial" w:cs="Arial" w:eastAsia="Arial" w:hAnsi="Arial"/>
          <w:color w:val="2F2F2F"/>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6. Governance, Observability &amp; Audit</w:t>
      </w:r>
    </w:p>
    <w:p>
      <w:pPr>
        <w:pStyle w:val="Heading2"/>
        <w:spacing w:after="80" w:before="280"/>
      </w:pPr>
      <w:r>
        <w:rPr>
          <w:rFonts w:ascii="Arial" w:cs="Arial" w:eastAsia="Arial" w:hAnsi="Arial"/>
          <w:b/>
          <w:bCs/>
          <w:color w:val="2E75B6"/>
          <w:sz w:val="28"/>
          <w:szCs w:val="28"/>
        </w:rPr>
        <w:t xml:space="preserve">6.1 Observability Architecture</w:t>
      </w:r>
    </w:p>
    <w:p>
      <w:r>
        <w:rPr>
          <w:rFonts w:ascii="Arial" w:cs="Arial" w:eastAsia="Arial" w:hAnsi="Arial"/>
          <w:color w:val="2F2F2F"/>
          <w:sz w:val="20"/>
          <w:szCs w:val="20"/>
        </w:rPr>
        <w:t xml:space="preserve">Agentic AI systems require deeper observability than traditional software due to non-deterministic behaviour. The observability stack must provide full replay capability for any agent execution trace.</w:t>
      </w:r>
    </w:p>
    <w:p>
      <w:pPr>
        <w:spacing w:after="80" w:before="8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6.1.1 Structured Trace Logging</w:t>
      </w:r>
    </w:p>
    <w:p>
      <w:r>
        <w:rPr>
          <w:rFonts w:ascii="Arial" w:cs="Arial" w:eastAsia="Arial" w:hAnsi="Arial"/>
          <w:color w:val="2F2F2F"/>
          <w:sz w:val="20"/>
          <w:szCs w:val="20"/>
        </w:rPr>
        <w:t xml:space="preserve">Every agent execution must produce a structured trace with the following mandatory fields at minimum:</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50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trace_id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UUID</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Unique identifier for the entire agent execution (all spans)</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span_id</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UUID</w:t>
            </w:r>
          </w:p>
        </w:tc>
        <w:tc>
          <w:tcPr>
            <w:tcW w:type="dxa" w:w="50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Unique identifier for a single step (tool call, LLM call, decision)</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parent_span_id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UUID</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Links to the parent span — enables tree reconstruction</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timestamp_utc</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ISO 8601</w:t>
            </w:r>
          </w:p>
        </w:tc>
        <w:tc>
          <w:tcPr>
            <w:tcW w:type="dxa" w:w="50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UTC timestamp at span start</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duration_ms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Integer</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Wall-clock duration of the span in milliseconds</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agent_id</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String</w:t>
            </w:r>
          </w:p>
        </w:tc>
        <w:tc>
          <w:tcPr>
            <w:tcW w:type="dxa" w:w="50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Identifier of the agent that generated this span</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span_type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Enum</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llm_call | tool_call | decision | hitl_event | error</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model</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String</w:t>
            </w:r>
          </w:p>
        </w:tc>
        <w:tc>
          <w:tcPr>
            <w:tcW w:type="dxa" w:w="50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LLM model and version used (for llm_call spans)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input_tokens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Integer</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Prompt tokens consumed (for llm_call spans)</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output_tokens</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Integer</w:t>
            </w:r>
          </w:p>
        </w:tc>
        <w:tc>
          <w:tcPr>
            <w:tcW w:type="dxa" w:w="50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Completion tokens generated (for llm_call spans)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tool_name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String</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Name of the tool invoked (for tool_call spans)</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tool_input_hash</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String</w:t>
            </w:r>
          </w:p>
        </w:tc>
        <w:tc>
          <w:tcPr>
            <w:tcW w:type="dxa" w:w="50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SHA-256 of tool input — for integrity; full input in secure store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tool_output_hash</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String</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SHA-256 of tool output</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user_id</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String</w:t>
            </w:r>
          </w:p>
        </w:tc>
        <w:tc>
          <w:tcPr>
            <w:tcW w:type="dxa" w:w="50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Anonymised or tokenised user identifier</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status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Enum</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success | error | timeout | blocked | escalated</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error_code</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String</w:t>
            </w:r>
          </w:p>
        </w:tc>
        <w:tc>
          <w:tcPr>
            <w:tcW w:type="dxa" w:w="50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Structured error code if status = error</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guardrail_triggered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Boolean</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Whether any guardrail fired during this span</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cost_usd</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Float</w:t>
            </w:r>
          </w:p>
        </w:tc>
        <w:tc>
          <w:tcPr>
            <w:tcW w:type="dxa" w:w="50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Estimated cost of this span (LLM + tool costs where available)</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6.1.2 Metrics</w:t>
      </w:r>
    </w:p>
    <w:p>
      <w:r>
        <w:rPr>
          <w:rFonts w:ascii="Arial" w:cs="Arial" w:eastAsia="Arial" w:hAnsi="Arial"/>
          <w:color w:val="2F2F2F"/>
          <w:sz w:val="20"/>
          <w:szCs w:val="20"/>
        </w:rPr>
        <w:t xml:space="preserve">The following metrics must be instrumented and available on the operations dashboard:</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c>
          <w:tcPr>
            <w:tcW w:type="dxa" w:w="32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43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 Threshold</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Task completion 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Gauge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if &lt; [X]% over 1-hour rolling window</w:t>
            </w:r>
          </w:p>
        </w:tc>
      </w:tr>
      <w:tr>
        <w:tc>
          <w:tcPr>
            <w:tcW w:type="dxa" w:w="3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Task failure rate</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Counter</w:t>
            </w:r>
          </w:p>
        </w:tc>
        <w:tc>
          <w:tcPr>
            <w:tcW w:type="dxa" w:w="43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if &gt; [X]% over 1-hour rolling window</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Average task latency (p50/p95)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Histogram</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if p95 &gt; [X] seconds</w:t>
            </w:r>
          </w:p>
        </w:tc>
      </w:tr>
      <w:tr>
        <w:tc>
          <w:tcPr>
            <w:tcW w:type="dxa" w:w="3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LLM call latency (p50/p95)</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Histogram</w:t>
            </w:r>
          </w:p>
        </w:tc>
        <w:tc>
          <w:tcPr>
            <w:tcW w:type="dxa" w:w="43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if p95 &gt; [X] seconds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Token consumption 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Counter</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if &gt; [X] tokens/hour (cost control)</w:t>
            </w:r>
          </w:p>
        </w:tc>
      </w:tr>
      <w:tr>
        <w:tc>
          <w:tcPr>
            <w:tcW w:type="dxa" w:w="3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Estimated cost per hour</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Gauge</w:t>
            </w:r>
          </w:p>
        </w:tc>
        <w:tc>
          <w:tcPr>
            <w:tcW w:type="dxa" w:w="43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if &gt; $[X]/hour</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Guardrail trigger 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Counter</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on spike — may indicate attack</w:t>
            </w:r>
          </w:p>
        </w:tc>
      </w:tr>
      <w:tr>
        <w:tc>
          <w:tcPr>
            <w:tcW w:type="dxa" w:w="3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HITL queue depth</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Gauge</w:t>
            </w:r>
          </w:p>
        </w:tc>
        <w:tc>
          <w:tcPr>
            <w:tcW w:type="dxa" w:w="43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if &gt; [X] items waiting &gt; [Y] minutes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Tool error rate by tool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Counter</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if &gt; [X]% per tool</w:t>
            </w:r>
          </w:p>
        </w:tc>
      </w:tr>
      <w:tr>
        <w:tc>
          <w:tcPr>
            <w:tcW w:type="dxa" w:w="3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Active concurrent tasks</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Gauge</w:t>
            </w:r>
          </w:p>
        </w:tc>
        <w:tc>
          <w:tcPr>
            <w:tcW w:type="dxa" w:w="43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Alert if &gt; [X] (resource threshold)</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6.1.3 Logging &amp; Audit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Log aggregation platform</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Splunk / Elastic / Datadog / AWS CloudWatch — specify]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Trace storage</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Langfuse / Arize / Helicone / custom — specify]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Log retention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[Specify retention period — must meet regulatory minimum]</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Log encryption</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[At-rest and in-transit encryption specification]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Access controls on logs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[Who can query full traces? PII-redacted logs for broader access?]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Tamper evidence</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[Mechanism to detect log tampering — e.g. hash chaining, WORM storage]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Replay capability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[Can any trace be replayed for debugging? How?]</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6.2 Governance Framework</w:t>
      </w:r>
    </w:p>
    <w:p>
      <w:pPr>
        <w:pStyle w:val="Heading3"/>
        <w:spacing w:after="60" w:before="200"/>
      </w:pPr>
      <w:r>
        <w:rPr>
          <w:rFonts w:ascii="Arial" w:cs="Arial" w:eastAsia="Arial" w:hAnsi="Arial"/>
          <w:b/>
          <w:bCs/>
          <w:color w:val="2F2F2F"/>
          <w:sz w:val="24"/>
          <w:szCs w:val="24"/>
        </w:rPr>
        <w:t xml:space="preserve">6.2.1 RACI Matrix</w:t>
      </w:r>
    </w:p>
    <w:p>
      <w:r>
        <w:rPr>
          <w:rFonts w:ascii="Arial" w:cs="Arial" w:eastAsia="Arial" w:hAnsi="Arial"/>
          <w:color w:val="2F2F2F"/>
          <w:sz w:val="20"/>
          <w:szCs w:val="20"/>
        </w:rPr>
        <w:t xml:space="preserve">The following RACI matrix defines responsibilities for key activities in the Agentic AI lifecycle. R = Responsible, A = Accountable, C = Consulted, I = Informed.</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1200"/>
        <w:gridCol w:w="1200"/>
        <w:gridCol w:w="1200"/>
        <w:gridCol w:w="1800"/>
      </w:tblGrid>
      <w:tr>
        <w:tc>
          <w:tcPr>
            <w:tcW w:type="dxa" w:w="27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Project Owner</w:t>
            </w:r>
          </w:p>
        </w:tc>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Architect</w:t>
            </w:r>
          </w:p>
        </w:tc>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Security</w:t>
            </w:r>
          </w:p>
        </w:tc>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Operations</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ARB</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F2F2F"/>
                <w:sz w:val="19"/>
                <w:szCs w:val="19"/>
              </w:rPr>
              <w:t xml:space="preserve">Define agent scope &amp; objectives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C55A11"/>
                <w:sz w:val="19"/>
                <w:szCs w:val="19"/>
              </w:rPr>
              <w:t xml:space="preserve">R/A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I</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F2F2F"/>
                <w:sz w:val="19"/>
                <w:szCs w:val="19"/>
              </w:rPr>
              <w:t xml:space="preserve">Design agent architecture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C55A11"/>
                <w:sz w:val="19"/>
                <w:szCs w:val="19"/>
              </w:rPr>
              <w:t xml:space="preserve">R/A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I</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F2F2F"/>
                <w:sz w:val="19"/>
                <w:szCs w:val="19"/>
              </w:rPr>
              <w:t xml:space="preserve">Security &amp; trust assessment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C55A11"/>
                <w:sz w:val="19"/>
                <w:szCs w:val="19"/>
              </w:rPr>
              <w:t xml:space="preserve">R/A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F2F2F"/>
                <w:sz w:val="19"/>
                <w:szCs w:val="19"/>
              </w:rPr>
              <w:t xml:space="preserve">Data flow &amp; integration design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F2F2F"/>
                <w:sz w:val="19"/>
                <w:szCs w:val="19"/>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I</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F2F2F"/>
                <w:sz w:val="19"/>
                <w:szCs w:val="19"/>
              </w:rPr>
              <w:t xml:space="preserve">Observability &amp; logging implementation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C55A11"/>
                <w:sz w:val="19"/>
                <w:szCs w:val="19"/>
              </w:rPr>
              <w:t xml:space="preserve">R/A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I</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ARB submission &amp; review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F2F2F"/>
                <w:sz w:val="19"/>
                <w:szCs w:val="19"/>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A/R</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F2F2F"/>
                <w:sz w:val="19"/>
                <w:szCs w:val="19"/>
              </w:rPr>
              <w:t xml:space="preserve">Go-live approval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F2F2F"/>
                <w:sz w:val="19"/>
                <w:szCs w:val="19"/>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F2F2F"/>
                <w:sz w:val="19"/>
                <w:szCs w:val="19"/>
              </w:rP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E75B6"/>
                <w:sz w:val="19"/>
                <w:szCs w:val="19"/>
              </w:rPr>
              <w:t xml:space="preserve">R</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6.2.2 AI Incident Classification</w:t>
      </w:r>
    </w:p>
    <w:p>
      <w:r>
        <w:rPr>
          <w:rFonts w:ascii="Arial" w:cs="Arial" w:eastAsia="Arial" w:hAnsi="Arial"/>
          <w:color w:val="2F2F2F"/>
          <w:sz w:val="20"/>
          <w:szCs w:val="20"/>
        </w:rPr>
        <w:t xml:space="preserve">AI incidents must be classified and responded to according to the following severity levels:</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2880"/>
        <w:gridCol w:w="2880"/>
      </w:tblGrid>
      <w:tr>
        <w:tc>
          <w:tcPr>
            <w:tcW w:type="dxa" w:w="10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Severity</w:t>
            </w:r>
          </w:p>
        </w:tc>
        <w:tc>
          <w:tcPr>
            <w:tcW w:type="dxa" w:w="2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c>
          <w:tcPr>
            <w:tcW w:type="dxa" w:w="28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Examples</w:t>
            </w:r>
          </w:p>
        </w:tc>
        <w:tc>
          <w:tcPr>
            <w:tcW w:type="dxa" w:w="28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Response SLA</w:t>
            </w:r>
          </w:p>
        </w:tc>
      </w:tr>
      <w:tr>
        <w:tc>
          <w:tcPr>
            <w:tcW w:type="dxa" w:w="1080"/>
            <w:tcBorders>
              <w:top w:val="single" w:color="CCCCCC" w:sz="1"/>
              <w:left w:val="single" w:color="CCCCCC" w:sz="1"/>
              <w:bottom w:val="single" w:color="CCCCCC" w:sz="1"/>
              <w:right w:val="single" w:color="CCCCCC" w:sz="1"/>
            </w:tcBorders>
            <w:shd w:fill="FCECEA" w:val="clear"/>
            <w:tcMar>
              <w:top w:type="dxa" w:w="100"/>
              <w:left w:type="dxa" w:w="140"/>
              <w:bottom w:type="dxa" w:w="100"/>
              <w:right w:type="dxa" w:w="140"/>
            </w:tcMar>
          </w:tcPr>
          <w:p>
            <w:r>
              <w:rPr>
                <w:rFonts w:ascii="Arial" w:cs="Arial" w:eastAsia="Arial" w:hAnsi="Arial"/>
                <w:b/>
                <w:bCs/>
                <w:color w:val="2F2F2F"/>
                <w:sz w:val="19"/>
                <w:szCs w:val="19"/>
              </w:rPr>
              <w:t xml:space="preserve">P1 Critical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Agent took an irreversible harmful action; data breach; complete system compromise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Sent unauthorised communications; deleted production data; exposed credentials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Immediate halt; 30-min incident bridge; CISO notification within 1 hour</w:t>
            </w:r>
          </w:p>
        </w:tc>
      </w:tr>
      <w:tr>
        <w:tc>
          <w:tcPr>
            <w:tcW w:type="dxa" w:w="1080"/>
            <w:tcBorders>
              <w:top w:val="single" w:color="CCCCCC" w:sz="1"/>
              <w:left w:val="single" w:color="CCCCCC" w:sz="1"/>
              <w:bottom w:val="single" w:color="CCCCCC" w:sz="1"/>
              <w:right w:val="single" w:color="CCCCCC" w:sz="1"/>
            </w:tcBorders>
            <w:shd w:fill="FFF0E0" w:val="clear"/>
            <w:tcMar>
              <w:top w:type="dxa" w:w="100"/>
              <w:left w:type="dxa" w:w="140"/>
              <w:bottom w:type="dxa" w:w="100"/>
              <w:right w:type="dxa" w:w="140"/>
            </w:tcMar>
          </w:tcPr>
          <w:p>
            <w:r>
              <w:rPr>
                <w:rFonts w:ascii="Arial" w:cs="Arial" w:eastAsia="Arial" w:hAnsi="Arial"/>
                <w:b/>
                <w:bCs/>
                <w:color w:val="2F2F2F"/>
                <w:sz w:val="19"/>
                <w:szCs w:val="19"/>
              </w:rPr>
              <w:t xml:space="preserve">P2 High</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Agent behaved outside policy; significant data exposure; HITL bypass</w:t>
            </w:r>
          </w:p>
        </w:tc>
        <w:tc>
          <w:tcPr>
            <w:tcW w:type="dxa" w:w="288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Generated harmful content; exfiltrated PII; persistent HITL failure</w:t>
            </w:r>
          </w:p>
        </w:tc>
        <w:tc>
          <w:tcPr>
            <w:tcW w:type="dxa" w:w="288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Agent suspension; 2-hour response; security review within 4 hours</w:t>
            </w:r>
          </w:p>
        </w:tc>
      </w:tr>
      <w:tr>
        <w:tc>
          <w:tcPr>
            <w:tcW w:type="dxa" w:w="1080"/>
            <w:tcBorders>
              <w:top w:val="single" w:color="CCCCCC" w:sz="1"/>
              <w:left w:val="single" w:color="CCCCCC" w:sz="1"/>
              <w:bottom w:val="single" w:color="CCCCCC" w:sz="1"/>
              <w:right w:val="single" w:color="CCCCCC" w:sz="1"/>
            </w:tcBorders>
            <w:shd w:fill="FFFDE0" w:val="clear"/>
            <w:tcMar>
              <w:top w:type="dxa" w:w="100"/>
              <w:left w:type="dxa" w:w="140"/>
              <w:bottom w:type="dxa" w:w="100"/>
              <w:right w:type="dxa" w:w="140"/>
            </w:tcMar>
          </w:tcPr>
          <w:p>
            <w:r>
              <w:rPr>
                <w:rFonts w:ascii="Arial" w:cs="Arial" w:eastAsia="Arial" w:hAnsi="Arial"/>
                <w:b/>
                <w:bCs/>
                <w:color w:val="2F2F2F"/>
                <w:sz w:val="19"/>
                <w:szCs w:val="19"/>
              </w:rPr>
              <w:t xml:space="preserve">P3 Medium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Repeated guardrail triggers; elevated error rate; anomalous cost spike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Systematic prompt injection attempts; tool failure loop; budget threshold breach</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Investigation within 4 hours; mitigations within 24 hours</w:t>
            </w:r>
          </w:p>
        </w:tc>
      </w:tr>
      <w:tr>
        <w:tc>
          <w:tcPr>
            <w:tcW w:type="dxa" w:w="10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bCs/>
                <w:color w:val="2F2F2F"/>
                <w:sz w:val="19"/>
                <w:szCs w:val="19"/>
              </w:rPr>
              <w:t xml:space="preserve">P4 Low</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Isolated unexpected behaviour; single guardrail trigger; minor policy deviation</w:t>
            </w:r>
          </w:p>
        </w:tc>
        <w:tc>
          <w:tcPr>
            <w:tcW w:type="dxa" w:w="288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Single refusal failure; unexpected output format; minor latency spike</w:t>
            </w:r>
          </w:p>
        </w:tc>
        <w:tc>
          <w:tcPr>
            <w:tcW w:type="dxa" w:w="288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19"/>
                <w:szCs w:val="19"/>
              </w:rPr>
              <w:t xml:space="preserve">Review in next sprint; log for pattern analysis</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6.3 Ongoing Governance</w:t>
      </w:r>
    </w:p>
    <w:p>
      <w:pPr>
        <w:pStyle w:val="Heading3"/>
        <w:spacing w:after="60" w:before="200"/>
      </w:pPr>
      <w:r>
        <w:rPr>
          <w:rFonts w:ascii="Arial" w:cs="Arial" w:eastAsia="Arial" w:hAnsi="Arial"/>
          <w:b/>
          <w:bCs/>
          <w:color w:val="2F2F2F"/>
          <w:sz w:val="24"/>
          <w:szCs w:val="24"/>
        </w:rPr>
        <w:t xml:space="preserve">6.3.1 Model &amp; Behaviour Review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32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Review Activity</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Frequency</w:t>
            </w:r>
          </w:p>
        </w:tc>
        <w:tc>
          <w:tcPr>
            <w:tcW w:type="dxa" w:w="39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 &amp; Artefact</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Agent behaviour red-teaming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Quarterly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[Security team — Red Team Report]</w:t>
            </w:r>
          </w:p>
        </w:tc>
      </w:tr>
      <w:tr>
        <w:tc>
          <w:tcPr>
            <w:tcW w:type="dxa" w:w="3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System prompt review</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Before each change</w:t>
            </w:r>
          </w:p>
        </w:tc>
        <w:tc>
          <w:tcPr>
            <w:tcW w:type="dxa" w:w="39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[Tech Lead — version-controlled change log]</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Tool permission audit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Quarterly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[Platform team — Access Review Report]</w:t>
            </w:r>
          </w:p>
        </w:tc>
      </w:tr>
      <w:tr>
        <w:tc>
          <w:tcPr>
            <w:tcW w:type="dxa" w:w="3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LLM model version assessment</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On provider update</w:t>
            </w:r>
          </w:p>
        </w:tc>
        <w:tc>
          <w:tcPr>
            <w:tcW w:type="dxa" w:w="39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[Architect — Compatibility Assessment]</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Incident pattern review</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Monthly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[Operations — Incident Trend Report]</w:t>
            </w:r>
          </w:p>
        </w:tc>
      </w:tr>
      <w:tr>
        <w:tc>
          <w:tcPr>
            <w:tcW w:type="dxa" w:w="3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Cost &amp; token budget review</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Monthly</w:t>
            </w:r>
          </w:p>
        </w:tc>
        <w:tc>
          <w:tcPr>
            <w:tcW w:type="dxa" w:w="39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[Product Owner — Budget Review Report]</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Data retention compliance check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Semi-annual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[Data Privacy Officer — Compliance Report]</w:t>
            </w:r>
          </w:p>
        </w:tc>
      </w:tr>
      <w:tr>
        <w:tc>
          <w:tcPr>
            <w:tcW w:type="dxa" w:w="32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Full ARB re-review (material change)</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On trigger</w:t>
            </w:r>
          </w:p>
        </w:tc>
        <w:tc>
          <w:tcPr>
            <w:tcW w:type="dxa" w:w="39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[Architect — Updated SDD + change summary]</w:t>
            </w:r>
          </w:p>
        </w:tc>
      </w:tr>
    </w:tbl>
    <w:p>
      <w:pPr>
        <w:spacing w:after="100" w:before="100"/>
      </w:pPr>
      <w:r>
        <w:rPr>
          <w:rFonts w:ascii="Arial" w:cs="Arial" w:eastAsia="Arial" w:hAnsi="Arial"/>
          <w:color w:val="2F2F2F"/>
          <w:sz w:val="20"/>
          <w:szCs w:val="20"/>
        </w:rPr>
        <w:t xml:space="preserve"/>
      </w:r>
    </w:p>
    <w:p>
      <w:pPr>
        <w:pStyle w:val="Heading3"/>
        <w:spacing w:after="60" w:before="200"/>
      </w:pPr>
      <w:r>
        <w:rPr>
          <w:rFonts w:ascii="Arial" w:cs="Arial" w:eastAsia="Arial" w:hAnsi="Arial"/>
          <w:b/>
          <w:bCs/>
          <w:color w:val="2F2F2F"/>
          <w:sz w:val="24"/>
          <w:szCs w:val="24"/>
        </w:rPr>
        <w:t xml:space="preserve">6.3.2 Material Change Triggers for ARB Re-review</w:t>
      </w:r>
    </w:p>
    <w:p>
      <w:r>
        <w:rPr>
          <w:rFonts w:ascii="Arial" w:cs="Arial" w:eastAsia="Arial" w:hAnsi="Arial"/>
          <w:color w:val="2F2F2F"/>
          <w:sz w:val="20"/>
          <w:szCs w:val="20"/>
        </w:rPr>
        <w:t xml:space="preserve">The following changes require a new ARB submission before deployment:</w:t>
      </w:r>
    </w:p>
    <w:p>
      <w:pPr>
        <w:spacing w:after="60" w:before="60"/>
      </w:pPr>
      <w:r>
        <w:rPr>
          <w:rFonts w:ascii="Arial" w:cs="Arial" w:eastAsia="Arial" w:hAnsi="Arial"/>
          <w:color w:val="2F2F2F"/>
          <w:sz w:val="20"/>
          <w:szCs w:val="20"/>
        </w:rPr>
        <w:t xml:space="preserve"/>
      </w:r>
    </w:p>
    <w:p>
      <w:pPr>
        <w:pStyle w:val="ListParagraph"/>
        <w:numPr>
          <w:ilvl w:val="0"/>
          <w:numId w:val="2"/>
        </w:numPr>
        <w:spacing w:after="40" w:before="40"/>
      </w:pPr>
      <w:r>
        <w:rPr>
          <w:rFonts w:ascii="Arial" w:cs="Arial" w:eastAsia="Arial" w:hAnsi="Arial"/>
          <w:color w:val="2F2F2F"/>
          <w:sz w:val="20"/>
          <w:szCs w:val="20"/>
        </w:rPr>
        <w:t xml:space="preserve">Change of LLM model (different provider or significantly different version)</w:t>
      </w:r>
    </w:p>
    <w:p>
      <w:pPr>
        <w:pStyle w:val="ListParagraph"/>
        <w:numPr>
          <w:ilvl w:val="0"/>
          <w:numId w:val="2"/>
        </w:numPr>
        <w:spacing w:after="40" w:before="40"/>
      </w:pPr>
      <w:r>
        <w:rPr>
          <w:rFonts w:ascii="Arial" w:cs="Arial" w:eastAsia="Arial" w:hAnsi="Arial"/>
          <w:color w:val="2F2F2F"/>
          <w:sz w:val="20"/>
          <w:szCs w:val="20"/>
        </w:rPr>
        <w:t xml:space="preserve">Addition of new tools or integrations with external systems</w:t>
      </w:r>
    </w:p>
    <w:p>
      <w:pPr>
        <w:pStyle w:val="ListParagraph"/>
        <w:numPr>
          <w:ilvl w:val="0"/>
          <w:numId w:val="2"/>
        </w:numPr>
        <w:spacing w:after="40" w:before="40"/>
      </w:pPr>
      <w:r>
        <w:rPr>
          <w:rFonts w:ascii="Arial" w:cs="Arial" w:eastAsia="Arial" w:hAnsi="Arial"/>
          <w:color w:val="2F2F2F"/>
          <w:sz w:val="20"/>
          <w:szCs w:val="20"/>
        </w:rPr>
        <w:t xml:space="preserve">Expansion of data access scope (new datasets, databases, or PII categories)</w:t>
      </w:r>
    </w:p>
    <w:p>
      <w:pPr>
        <w:pStyle w:val="ListParagraph"/>
        <w:numPr>
          <w:ilvl w:val="0"/>
          <w:numId w:val="2"/>
        </w:numPr>
        <w:spacing w:after="40" w:before="40"/>
      </w:pPr>
      <w:r>
        <w:rPr>
          <w:rFonts w:ascii="Arial" w:cs="Arial" w:eastAsia="Arial" w:hAnsi="Arial"/>
          <w:color w:val="2F2F2F"/>
          <w:sz w:val="20"/>
          <w:szCs w:val="20"/>
        </w:rPr>
        <w:t xml:space="preserve">Change from HITL to fully autonomous operation</w:t>
      </w:r>
    </w:p>
    <w:p>
      <w:pPr>
        <w:pStyle w:val="ListParagraph"/>
        <w:numPr>
          <w:ilvl w:val="0"/>
          <w:numId w:val="2"/>
        </w:numPr>
        <w:spacing w:after="40" w:before="40"/>
      </w:pPr>
      <w:r>
        <w:rPr>
          <w:rFonts w:ascii="Arial" w:cs="Arial" w:eastAsia="Arial" w:hAnsi="Arial"/>
          <w:color w:val="2F2F2F"/>
          <w:sz w:val="20"/>
          <w:szCs w:val="20"/>
        </w:rPr>
        <w:t xml:space="preserve">Addition of new agent types or expansion of multi-agent topology</w:t>
      </w:r>
    </w:p>
    <w:p>
      <w:pPr>
        <w:pStyle w:val="ListParagraph"/>
        <w:numPr>
          <w:ilvl w:val="0"/>
          <w:numId w:val="2"/>
        </w:numPr>
        <w:spacing w:after="40" w:before="40"/>
      </w:pPr>
      <w:r>
        <w:rPr>
          <w:rFonts w:ascii="Arial" w:cs="Arial" w:eastAsia="Arial" w:hAnsi="Arial"/>
          <w:color w:val="2F2F2F"/>
          <w:sz w:val="20"/>
          <w:szCs w:val="20"/>
        </w:rPr>
        <w:t xml:space="preserve">Change in deployment environment (e.g. cloud region, network boundary)</w:t>
      </w:r>
    </w:p>
    <w:p>
      <w:pPr>
        <w:pStyle w:val="ListParagraph"/>
        <w:numPr>
          <w:ilvl w:val="0"/>
          <w:numId w:val="2"/>
        </w:numPr>
        <w:spacing w:after="40" w:before="40"/>
      </w:pPr>
      <w:r>
        <w:rPr>
          <w:rFonts w:ascii="Arial" w:cs="Arial" w:eastAsia="Arial" w:hAnsi="Arial"/>
          <w:color w:val="2F2F2F"/>
          <w:sz w:val="20"/>
          <w:szCs w:val="20"/>
        </w:rPr>
        <w:t xml:space="preserve">Any post-incident change addressing a P1 or P2 incident root cause</w:t>
      </w:r>
    </w:p>
    <w:p>
      <w:pPr>
        <w:spacing w:after="200" w:before="200"/>
      </w:pPr>
      <w:r>
        <w:rPr>
          <w:rFonts w:ascii="Arial" w:cs="Arial" w:eastAsia="Arial" w:hAnsi="Arial"/>
          <w:color w:val="2F2F2F"/>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7. Deployment &amp; Operations</w:t>
      </w:r>
    </w:p>
    <w:p>
      <w:pPr>
        <w:pStyle w:val="Heading2"/>
        <w:spacing w:after="80" w:before="280"/>
      </w:pPr>
      <w:r>
        <w:rPr>
          <w:rFonts w:ascii="Arial" w:cs="Arial" w:eastAsia="Arial" w:hAnsi="Arial"/>
          <w:b/>
          <w:bCs/>
          <w:color w:val="2E75B6"/>
          <w:sz w:val="28"/>
          <w:szCs w:val="28"/>
        </w:rPr>
        <w:t xml:space="preserve">7.1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2160"/>
        <w:gridCol w:w="1800"/>
      </w:tblGrid>
      <w:tr>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Environment</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LLM Endpoint</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Access</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HITL Mode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Development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Developer testing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Sandbox / mock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Synthetic data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Off</w:t>
            </w:r>
          </w:p>
        </w:tc>
      </w:tr>
      <w:tr>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Staging</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Integration &amp; UAT</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Lower-cost model</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Masked test data</w:t>
            </w:r>
          </w:p>
        </w:tc>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Optional</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Live workloads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Full production LLM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Real data — classified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As designed</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7.2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Cloud provider / region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[Provider + region — note data residency implications]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Container / orchestration</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Kubernetes / ECS / App Service — specify]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IaC tooling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Terraform / Pulumi / CloudFormation — specify]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Secrets management</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[e.g. HashiCorp Vault / AWS Secrets Manager / Azure Key Vault]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LLM provider connectivity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[Public internet with TLS / VPC endpoint / private link]</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Horizontal scaling model</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[How does the system scale under load? Auto-scaling triggers?]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DR / Failover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[RTO and RPO targets; failover mechanism]</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7.3 CI/CD Pipeline</w:t>
      </w:r>
    </w:p>
    <w:p>
      <w:r>
        <w:rPr>
          <w:rFonts w:ascii="Arial" w:cs="Arial" w:eastAsia="Arial" w:hAnsi="Arial"/>
          <w:color w:val="2F2F2F"/>
          <w:sz w:val="20"/>
          <w:szCs w:val="20"/>
        </w:rPr>
        <w:t xml:space="preserve">The deployment pipeline must include the following gates specific to Agentic AI systems:</w:t>
      </w:r>
    </w:p>
    <w:p>
      <w:pPr>
        <w:spacing w:after="60" w:before="60"/>
      </w:pPr>
      <w:r>
        <w:rPr>
          <w:rFonts w:ascii="Arial" w:cs="Arial" w:eastAsia="Arial" w:hAnsi="Arial"/>
          <w:color w:val="2F2F2F"/>
          <w:sz w:val="20"/>
          <w:szCs w:val="20"/>
        </w:rPr>
        <w:t xml:space="preserve"/>
      </w:r>
    </w:p>
    <w:p>
      <w:pPr>
        <w:pStyle w:val="ListParagraph"/>
        <w:numPr>
          <w:ilvl w:val="0"/>
          <w:numId w:val="2"/>
        </w:numPr>
        <w:spacing w:after="40" w:before="40"/>
      </w:pPr>
      <w:r>
        <w:rPr>
          <w:rFonts w:ascii="Arial" w:cs="Arial" w:eastAsia="Arial" w:hAnsi="Arial"/>
          <w:color w:val="2F2F2F"/>
          <w:sz w:val="20"/>
          <w:szCs w:val="20"/>
        </w:rPr>
        <w:t xml:space="preserve">Automated agent behaviour test suite (including adversarial prompt tests)</w:t>
      </w:r>
    </w:p>
    <w:p>
      <w:pPr>
        <w:pStyle w:val="ListParagraph"/>
        <w:numPr>
          <w:ilvl w:val="0"/>
          <w:numId w:val="2"/>
        </w:numPr>
        <w:spacing w:after="40" w:before="40"/>
      </w:pPr>
      <w:r>
        <w:rPr>
          <w:rFonts w:ascii="Arial" w:cs="Arial" w:eastAsia="Arial" w:hAnsi="Arial"/>
          <w:color w:val="2F2F2F"/>
          <w:sz w:val="20"/>
          <w:szCs w:val="20"/>
        </w:rPr>
        <w:t xml:space="preserve">Guardrail regression tests (verify all guardrails fire correctly on test cases)</w:t>
      </w:r>
    </w:p>
    <w:p>
      <w:pPr>
        <w:pStyle w:val="ListParagraph"/>
        <w:numPr>
          <w:ilvl w:val="0"/>
          <w:numId w:val="2"/>
        </w:numPr>
        <w:spacing w:after="40" w:before="40"/>
      </w:pPr>
      <w:r>
        <w:rPr>
          <w:rFonts w:ascii="Arial" w:cs="Arial" w:eastAsia="Arial" w:hAnsi="Arial"/>
          <w:color w:val="2F2F2F"/>
          <w:sz w:val="20"/>
          <w:szCs w:val="20"/>
        </w:rPr>
        <w:t xml:space="preserve">System prompt diff review — any change to system prompt requires manual approval gate</w:t>
      </w:r>
    </w:p>
    <w:p>
      <w:pPr>
        <w:pStyle w:val="ListParagraph"/>
        <w:numPr>
          <w:ilvl w:val="0"/>
          <w:numId w:val="2"/>
        </w:numPr>
        <w:spacing w:after="40" w:before="40"/>
      </w:pPr>
      <w:r>
        <w:rPr>
          <w:rFonts w:ascii="Arial" w:cs="Arial" w:eastAsia="Arial" w:hAnsi="Arial"/>
          <w:color w:val="2F2F2F"/>
          <w:sz w:val="20"/>
          <w:szCs w:val="20"/>
        </w:rPr>
        <w:t xml:space="preserve">Tool integration tests with mock responses</w:t>
      </w:r>
    </w:p>
    <w:p>
      <w:pPr>
        <w:pStyle w:val="ListParagraph"/>
        <w:numPr>
          <w:ilvl w:val="0"/>
          <w:numId w:val="2"/>
        </w:numPr>
        <w:spacing w:after="40" w:before="40"/>
      </w:pPr>
      <w:r>
        <w:rPr>
          <w:rFonts w:ascii="Arial" w:cs="Arial" w:eastAsia="Arial" w:hAnsi="Arial"/>
          <w:color w:val="2F2F2F"/>
          <w:sz w:val="20"/>
          <w:szCs w:val="20"/>
        </w:rPr>
        <w:t xml:space="preserve">Cost estimation run — verify token consumption is within budget model</w:t>
      </w:r>
    </w:p>
    <w:p>
      <w:pPr>
        <w:pStyle w:val="ListParagraph"/>
        <w:numPr>
          <w:ilvl w:val="0"/>
          <w:numId w:val="2"/>
        </w:numPr>
        <w:spacing w:after="40" w:before="40"/>
      </w:pPr>
      <w:r>
        <w:rPr>
          <w:rFonts w:ascii="Arial" w:cs="Arial" w:eastAsia="Arial" w:hAnsi="Arial"/>
          <w:color w:val="2F2F2F"/>
          <w:sz w:val="20"/>
          <w:szCs w:val="20"/>
        </w:rPr>
        <w:t xml:space="preserve">Security scan of all dependencies (SAST + SCA)</w:t>
      </w:r>
    </w:p>
    <w:p>
      <w:pPr>
        <w:pStyle w:val="ListParagraph"/>
        <w:numPr>
          <w:ilvl w:val="0"/>
          <w:numId w:val="2"/>
        </w:numPr>
        <w:spacing w:after="40" w:before="40"/>
      </w:pPr>
      <w:r>
        <w:rPr>
          <w:rFonts w:ascii="Arial" w:cs="Arial" w:eastAsia="Arial" w:hAnsi="Arial"/>
          <w:color w:val="2F2F2F"/>
          <w:sz w:val="20"/>
          <w:szCs w:val="20"/>
        </w:rPr>
        <w:t xml:space="preserve">ARB approval gate — deployment to production blocked until ARB sign-off is recorded</w:t>
      </w:r>
    </w:p>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7.4 Rollback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Rollback trigger criteria</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[Conditions that automatically or manually trigger rollback]</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Rollback mechanism</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[Blue/green toggle / feature flag / container image revert]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Rollback time target (RTO)</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[Target time to restore previous version]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Rollback owner</w:t>
            </w:r>
          </w:p>
        </w:tc>
        <w:tc>
          <w:tcPr>
            <w:tcW w:type="dxa" w:w="624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2F2F2F"/>
                <w:sz w:val="20"/>
                <w:szCs w:val="20"/>
              </w:rPr>
              <w:t xml:space="preserve">[Role responsible for executing rollback]</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Post-rollback notification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[Who is notified and within what timeframe?]</w:t>
            </w:r>
          </w:p>
        </w:tc>
      </w:tr>
    </w:tbl>
    <w:p>
      <w:pPr>
        <w:spacing w:after="200" w:before="200"/>
      </w:pPr>
      <w:r>
        <w:rPr>
          <w:rFonts w:ascii="Arial" w:cs="Arial" w:eastAsia="Arial" w:hAnsi="Arial"/>
          <w:color w:val="2F2F2F"/>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8. ARB Submission Checklist</w:t>
      </w:r>
    </w:p>
    <w:p>
      <w:r>
        <w:rPr>
          <w:rFonts w:ascii="Arial" w:cs="Arial" w:eastAsia="Arial" w:hAnsi="Arial"/>
          <w:color w:val="2F2F2F"/>
          <w:sz w:val="20"/>
          <w:szCs w:val="20"/>
        </w:rPr>
        <w:t xml:space="preserve">The project team must complete this checklist before submitting to the ARB. The ARB reviewer will independently verify each item. All items must be checked before the ARB review meeting.</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440"/>
        <w:gridCol w:w="1440"/>
        <w:gridCol w:w="720"/>
      </w:tblGrid>
      <w:tr>
        <w:tc>
          <w:tcPr>
            <w:tcW w:type="dxa" w:w="57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Checklist Item</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Team (✓/✗)</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Section Ref</w:t>
            </w:r>
          </w:p>
        </w:tc>
        <w:tc>
          <w:tcPr>
            <w:tcW w:type="dxa" w:w="7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ARB (✓/✗)</w:t>
            </w:r>
          </w:p>
        </w:tc>
      </w:tr>
      <w:tr>
        <w:tc>
          <w:tcPr>
            <w:tcW w:type="dxa" w:w="9360"/>
            <w:gridSpan w:val="4"/>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Architecture &amp; Design</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Logical architecture diagram provided (Section 3.2.2)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§3.2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Data flow diagram provided (Section 4.1)</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§4.1</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All five architecture layers addressed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§3.2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Component inventory complete (Section 3.2.3)</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§3.2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Orchestration pattern documented (Section 3.3)</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§3.3</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Context and memory strategy defined (Section 3.3.4)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§3.3</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9360"/>
            <w:gridSpan w:val="4"/>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r>
              <w:rPr>
                <w:rFonts w:ascii="Arial" w:cs="Arial" w:eastAsia="Arial" w:hAnsi="Arial"/>
                <w:b/>
                <w:bCs/>
                <w:color w:val="C55A11"/>
                <w:sz w:val="20"/>
                <w:szCs w:val="20"/>
              </w:rPr>
              <w:t xml:space="preserve">Security &amp; Guardrails</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Threat model completed for all applicable threats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§5.1</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Authentication and authorisation model defined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§5.2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All input guardrails specified (enabled/disabled and implementation)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§5.3.1</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All output guardrails specified (enabled/disabled and implementation)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§5.3.2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Behaviour policies documented for system prompt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§5.3.3</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Network security controls defined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§5.4</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Secrets management approach specified (no hardcoded credentials)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§5.2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9360"/>
            <w:gridSpan w:val="4"/>
            <w:tcBorders>
              <w:top w:val="single" w:color="70AD47" w:sz="1"/>
              <w:left w:val="single" w:color="70AD47" w:sz="1"/>
              <w:bottom w:val="single" w:color="70AD47" w:sz="1"/>
              <w:right w:val="single" w:color="70AD47" w:sz="1"/>
            </w:tcBorders>
            <w:shd w:fill="E2EFDA" w:val="clear"/>
            <w:tcMar>
              <w:top w:type="dxa" w:w="100"/>
              <w:left w:type="dxa" w:w="140"/>
              <w:bottom w:type="dxa" w:w="100"/>
              <w:right w:type="dxa" w:w="140"/>
            </w:tcMar>
          </w:tcPr>
          <w:p>
            <w:r>
              <w:rPr>
                <w:rFonts w:ascii="Arial" w:cs="Arial" w:eastAsia="Arial" w:hAnsi="Arial"/>
                <w:b/>
                <w:bCs/>
                <w:color w:val="70AD47"/>
                <w:sz w:val="20"/>
                <w:szCs w:val="20"/>
              </w:rPr>
              <w:t xml:space="preserve">Data &amp; Compliance</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All data elements classified in data classification table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§4.2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Integration inventory complete with auth and rate limit details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§4.3</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Data residency and regulatory compliance section complete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§4.4</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Data retention policy specified for each data category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§4.4</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DPA status confirmed with LLM provider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§4.4</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9360"/>
            <w:gridSpan w:val="4"/>
            <w:tcBorders>
              <w:top w:val="single" w:color="1F3864" w:sz="1"/>
              <w:left w:val="single" w:color="1F3864" w:sz="1"/>
              <w:bottom w:val="single" w:color="1F3864" w:sz="1"/>
              <w:right w:val="single" w:color="1F3864" w:sz="1"/>
            </w:tcBorders>
            <w:shd w:fill="F2F2F2" w:val="clear"/>
            <w:tcMar>
              <w:top w:type="dxa" w:w="100"/>
              <w:left w:type="dxa" w:w="140"/>
              <w:bottom w:type="dxa" w:w="100"/>
              <w:right w:type="dxa" w:w="140"/>
            </w:tcMar>
          </w:tcPr>
          <w:p>
            <w:r>
              <w:rPr>
                <w:rFonts w:ascii="Arial" w:cs="Arial" w:eastAsia="Arial" w:hAnsi="Arial"/>
                <w:b/>
                <w:bCs/>
                <w:color w:val="1F3864"/>
                <w:sz w:val="20"/>
                <w:szCs w:val="20"/>
              </w:rPr>
              <w:t xml:space="preserve">Observability &amp; Governance</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Mandatory trace logging fields instrumented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§6.1.1</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All metrics instrumented and alerting thresholds configured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§6.1.2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Log platform, retention, and access controls specified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§6.1.3</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RACI matrix completed for this project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§6.2.1</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AI incident classification and response SLAs accepted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§6.2.2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Ongoing governance review cadence confirmed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§6.3.1</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Material change triggers for re-review understood and accepted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§6.3.2</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9360"/>
            <w:gridSpan w:val="4"/>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2E75B6"/>
                <w:sz w:val="20"/>
                <w:szCs w:val="20"/>
              </w:rPr>
              <w:t xml:space="preserve">Deployment &amp; Operations</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CI/CD pipeline includes all mandatory AI-specific gates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§7.3</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Rollback plan defined with RTO and trigger criteria</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§7.4</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F2F2F"/>
                <w:sz w:val="20"/>
                <w:szCs w:val="20"/>
              </w:rPr>
              <w:t xml:space="preserve">Capability classification table complete (Section 2.3)</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§2.3</w:t>
            </w:r>
          </w:p>
        </w:tc>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2F2F2F"/>
                <w:sz w:val="20"/>
                <w:szCs w:val="20"/>
              </w:rPr>
              <w:t xml:space="preserve"/>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8.1 ARB Sign-off</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w:t>
            </w:r>
          </w:p>
        </w:tc>
        <w:tc>
          <w:tcPr>
            <w:tcW w:type="dxa" w:w="23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Decision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ARB Chair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 Approved  [ ] Rejected  [ ] Deferred</w:t>
            </w:r>
          </w:p>
        </w:tc>
      </w:tr>
      <w:tr>
        <w:tc>
          <w:tcPr>
            <w:tcW w:type="dxa" w:w="23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Enterprise Architect</w:t>
            </w:r>
          </w:p>
        </w:tc>
        <w:tc>
          <w:tcPr>
            <w:tcW w:type="dxa" w:w="23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23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23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 Approved  [ ] Rejected  [ ] Deferred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Security Architect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 Approved  [ ] Rejected  [ ] Deferred</w:t>
            </w:r>
          </w:p>
        </w:tc>
      </w:tr>
      <w:tr>
        <w:tc>
          <w:tcPr>
            <w:tcW w:type="dxa" w:w="23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Data Architect</w:t>
            </w:r>
          </w:p>
        </w:tc>
        <w:tc>
          <w:tcPr>
            <w:tcW w:type="dxa" w:w="23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23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23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 Approved  [ ] Rejected  [ ] Deferred</w:t>
            </w:r>
          </w:p>
        </w:tc>
      </w:tr>
    </w:tbl>
    <w:p>
      <w:pPr>
        <w:spacing w:after="100" w:before="100"/>
      </w:pPr>
      <w:r>
        <w:rPr>
          <w:rFonts w:ascii="Arial" w:cs="Arial" w:eastAsia="Arial" w:hAnsi="Arial"/>
          <w:color w:val="2F2F2F"/>
          <w:sz w:val="20"/>
          <w:szCs w:val="20"/>
        </w:rPr>
        <w:t xml:space="preserve"/>
      </w:r>
    </w:p>
    <w:p>
      <w:pPr>
        <w:pStyle w:val="Heading2"/>
        <w:spacing w:after="80" w:before="280"/>
      </w:pPr>
      <w:r>
        <w:rPr>
          <w:rFonts w:ascii="Arial" w:cs="Arial" w:eastAsia="Arial" w:hAnsi="Arial"/>
          <w:b/>
          <w:bCs/>
          <w:color w:val="2E75B6"/>
          <w:sz w:val="28"/>
          <w:szCs w:val="28"/>
        </w:rPr>
        <w:t xml:space="preserve">8.2 ARB Conditions &amp; Notes</w:t>
      </w:r>
    </w:p>
    <w:p>
      <w:r>
        <w:rPr>
          <w:rFonts w:ascii="Arial" w:cs="Arial" w:eastAsia="Arial" w:hAnsi="Arial"/>
          <w:color w:val="2F2F2F"/>
          <w:sz w:val="20"/>
          <w:szCs w:val="20"/>
        </w:rPr>
        <w:t xml:space="preserve">Record any conditions attached to approval, deferred items, or notes from the review board.</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00"/>
        <w:gridCol w:w="1440"/>
        <w:gridCol w:w="1800"/>
      </w:tblGrid>
      <w:tr>
        <w:tc>
          <w:tcPr>
            <w:tcW w:type="dxa" w:w="7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5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Condition / Note</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Due Date</w:t>
            </w:r>
          </w:p>
        </w:tc>
      </w:tr>
      <w:tr>
        <w:tc>
          <w:tcPr>
            <w:tcW w:type="dxa" w:w="7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r>
      <w:tr>
        <w:tc>
          <w:tcPr>
            <w:tcW w:type="dxa" w:w="7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r>
      <w:tr>
        <w:tc>
          <w:tcPr>
            <w:tcW w:type="dxa" w:w="7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r>
      <w:tr>
        <w:tc>
          <w:tcPr>
            <w:tcW w:type="dxa" w:w="7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2F2F2F"/>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
            </w:r>
          </w:p>
        </w:tc>
      </w:tr>
    </w:tbl>
    <w:p>
      <w:pPr>
        <w:spacing w:after="200" w:before="200"/>
      </w:pPr>
      <w:r>
        <w:rPr>
          <w:rFonts w:ascii="Arial" w:cs="Arial" w:eastAsia="Arial" w:hAnsi="Arial"/>
          <w:color w:val="2F2F2F"/>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6"/>
          <w:szCs w:val="36"/>
        </w:rPr>
        <w:t xml:space="preserve">Appendix A: Agentic AI Architecture Patterns Reference</w:t>
      </w:r>
    </w:p>
    <w:p>
      <w:r>
        <w:rPr>
          <w:rFonts w:ascii="Arial" w:cs="Arial" w:eastAsia="Arial" w:hAnsi="Arial"/>
          <w:color w:val="2F2F2F"/>
          <w:sz w:val="20"/>
          <w:szCs w:val="20"/>
        </w:rPr>
        <w:t xml:space="preserve">This appendix provides a quick reference to common orchestration patterns for Agentic AI systems. Use this to inform architecture decisions and to communicate your chosen pattern to the ARB.</w:t>
      </w:r>
    </w:p>
    <w:p>
      <w:pPr>
        <w:spacing w:after="80" w:before="8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Pattern</w:t>
            </w:r>
          </w:p>
        </w:tc>
        <w:tc>
          <w:tcPr>
            <w:tcW w:type="dxa" w:w="2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When to Use</w:t>
            </w:r>
          </w:p>
        </w:tc>
        <w:tc>
          <w:tcPr>
            <w:tcW w:type="dxa" w:w="252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Risk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ReAct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Agent alternates Reasoning and Acting steps, choosing tools based on current context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Task completion with structured tool use; requires well-defined tools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Can loop indefinitely; requires strict iteration limits</w:t>
            </w:r>
          </w:p>
        </w:tc>
      </w:tr>
      <w:tr>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Plan-and-Execute</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Agent first creates a full plan, then executes each step; re-plans on failure</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Complex, multi-step tasks where upfront planning reduces errors</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Initial plan may be incorrect; replanning can be costly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Reflexion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Agent reflects on past failures and generates revised plans to improve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Tasks requiring iterative refinement; learning from mistakes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Reflection quality depends on model; may reinforce wrong beliefs</w:t>
            </w:r>
          </w:p>
        </w:tc>
      </w:tr>
      <w:tr>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LLM-as-Router</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An LLM routes requests to specialised subagents or tools based on intent</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High-volume systems with distinct task types; classification overhead is low</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Router errors cascade; need fallback for unclassified intents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Critic / Verifier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 separate critic agent evaluates output quality before it is returned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High-stakes outputs where accuracy is critical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Two-model cost; critic may share biases with generator</w:t>
            </w:r>
          </w:p>
        </w:tc>
      </w:tr>
      <w:tr>
        <w:tc>
          <w:tcPr>
            <w:tcW w:type="dxa" w:w="18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Tool-Augmented RAG</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Agent retrieves context from knowledge base, then uses tools to act on it</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Knowledge-intensive tasks where retrieval reduces hallucination</w:t>
            </w:r>
          </w:p>
        </w:tc>
        <w:tc>
          <w:tcPr>
            <w:tcW w:type="dxa" w:w="252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Retrieval quality is critical; stale knowledge is dangerous</w:t>
            </w:r>
          </w:p>
        </w:tc>
      </w:tr>
    </w:tbl>
    <w:p>
      <w:pPr>
        <w:spacing w:after="100" w:before="100"/>
      </w:pPr>
      <w:r>
        <w:rPr>
          <w:rFonts w:ascii="Arial" w:cs="Arial" w:eastAsia="Arial" w:hAnsi="Arial"/>
          <w:color w:val="2F2F2F"/>
          <w:sz w:val="20"/>
          <w:szCs w:val="20"/>
        </w:rP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Appendix B: Guardrail Implementation Libraries</w:t>
      </w:r>
    </w:p>
    <w:p>
      <w:r>
        <w:rPr>
          <w:rFonts w:ascii="Arial" w:cs="Arial" w:eastAsia="Arial" w:hAnsi="Arial"/>
          <w:color w:val="2F2F2F"/>
          <w:sz w:val="20"/>
          <w:szCs w:val="20"/>
        </w:rPr>
        <w:t xml:space="preserve">The following libraries and services are pre-approved for guardrail implementation. Teams may propose alternatives via the ARB process.</w:t>
      </w:r>
    </w:p>
    <w:p>
      <w:pPr>
        <w:spacing w:after="60" w:before="60"/>
      </w:pPr>
      <w:r>
        <w:rPr>
          <w:rFonts w:ascii="Arial" w:cs="Arial" w:eastAsia="Arial" w:hAnsi="Arial"/>
          <w:color w:val="2F2F2F"/>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3600"/>
        <w:gridCol w:w="2160"/>
      </w:tblGrid>
      <w:tr>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Library / Service</w:t>
            </w:r>
          </w:p>
        </w:tc>
        <w:tc>
          <w:tcPr>
            <w:tcW w:type="dxa" w:w="144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3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 Case</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Guardrails AI</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OSS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Structured output validation; policy enforcement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Python library; integrates with most LLM providers</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LlamaGuard</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Model</w:t>
            </w:r>
          </w:p>
        </w:tc>
        <w:tc>
          <w:tcPr>
            <w:tcW w:type="dxa" w:w="3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Input and output content safety classification</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Meta open model; deployable on-premise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NeMo Guardrails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OSS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Dialogue flow control; safety rails via Colang syntax</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NVIDIA; supports rail configuration as code</w:t>
            </w:r>
          </w:p>
        </w:tc>
      </w:tr>
      <w:tr>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2F2F2F"/>
                <w:sz w:val="20"/>
                <w:szCs w:val="20"/>
              </w:rPr>
              <w:t xml:space="preserve">Microsoft Presidio</w:t>
            </w:r>
          </w:p>
        </w:tc>
        <w:tc>
          <w:tcPr>
            <w:tcW w:type="dxa" w:w="144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OSS</w:t>
            </w:r>
          </w:p>
        </w:tc>
        <w:tc>
          <w:tcPr>
            <w:tcW w:type="dxa" w:w="3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PII detection and redaction in text and images</w:t>
            </w:r>
          </w:p>
        </w:tc>
        <w:tc>
          <w:tcPr>
            <w:tcW w:type="dxa" w:w="21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Supports 40+ entity types; customisable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F2F2F"/>
                <w:sz w:val="20"/>
                <w:szCs w:val="20"/>
              </w:rPr>
              <w:t xml:space="preserve">[Vendor CSPM]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Commercial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Enterprise content moderation and policy enforcement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F2F2F"/>
                <w:sz w:val="20"/>
                <w:szCs w:val="20"/>
              </w:rPr>
              <w:t xml:space="preserve">Contact security team for approved vendor list</w:t>
            </w:r>
          </w:p>
        </w:tc>
      </w:tr>
    </w:tbl>
    <w:p>
      <w:pPr>
        <w:spacing w:after="100" w:before="100"/>
      </w:pPr>
      <w:r>
        <w:rPr>
          <w:rFonts w:ascii="Arial" w:cs="Arial" w:eastAsia="Arial" w:hAnsi="Arial"/>
          <w:color w:val="2F2F2F"/>
          <w:sz w:val="20"/>
          <w:szCs w:val="20"/>
        </w:rP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Appendix C: Glossary of Agentic AI Risks</w:t>
      </w:r>
    </w:p>
    <w:p>
      <w:r>
        <w:rPr>
          <w:rFonts w:ascii="Arial" w:cs="Arial" w:eastAsia="Arial" w:hAnsi="Arial"/>
          <w:color w:val="2F2F2F"/>
          <w:sz w:val="20"/>
          <w:szCs w:val="20"/>
        </w:rPr>
        <w:t xml:space="preserve">Extended definitions of risk terms used throughout this document.</w:t>
      </w:r>
    </w:p>
    <w:p>
      <w:pPr>
        <w:spacing w:after="60" w:before="60"/>
      </w:pPr>
      <w:r>
        <w:rPr>
          <w:rFonts w:ascii="Arial" w:cs="Arial" w:eastAsia="Arial" w:hAnsi="Arial"/>
          <w:color w:val="2F2F2F"/>
          <w:sz w:val="20"/>
          <w:szCs w:val="20"/>
        </w:rPr>
        <w:t xml:space="preserve"/>
      </w:r>
    </w:p>
    <w:p>
      <w:pPr>
        <w:spacing w:after="40" w:before="80"/>
      </w:pPr>
      <w:r>
        <w:rPr>
          <w:rFonts w:ascii="Arial" w:cs="Arial" w:eastAsia="Arial" w:hAnsi="Arial"/>
          <w:b/>
          <w:bCs/>
          <w:color w:val="2E75B6"/>
          <w:sz w:val="20"/>
          <w:szCs w:val="20"/>
        </w:rPr>
        <w:t xml:space="preserve">Prompt Injection: </w:t>
      </w:r>
      <w:r>
        <w:rPr>
          <w:rFonts w:ascii="Arial" w:cs="Arial" w:eastAsia="Arial" w:hAnsi="Arial"/>
          <w:color w:val="2F2F2F"/>
          <w:sz w:val="20"/>
          <w:szCs w:val="20"/>
        </w:rPr>
        <w:t xml:space="preserve">An attack where malicious instructions are embedded in user input or tool/document content, causing the agent to deviate from its intended behaviour. Direct injection comes from users; indirect injection comes from external content retrieved or processed by the agent.</w:t>
      </w:r>
    </w:p>
    <w:p>
      <w:pPr>
        <w:spacing w:after="40" w:before="80"/>
      </w:pPr>
      <w:r>
        <w:rPr>
          <w:rFonts w:ascii="Arial" w:cs="Arial" w:eastAsia="Arial" w:hAnsi="Arial"/>
          <w:b/>
          <w:bCs/>
          <w:color w:val="2E75B6"/>
          <w:sz w:val="20"/>
          <w:szCs w:val="20"/>
        </w:rPr>
        <w:t xml:space="preserve">Goal Misgeneralisation: </w:t>
      </w:r>
      <w:r>
        <w:rPr>
          <w:rFonts w:ascii="Arial" w:cs="Arial" w:eastAsia="Arial" w:hAnsi="Arial"/>
          <w:color w:val="2F2F2F"/>
          <w:sz w:val="20"/>
          <w:szCs w:val="20"/>
        </w:rPr>
        <w:t xml:space="preserve">A failure mode where an agent pursues a proxy objective that diverges from the intended goal in novel situations — often because the proxy worked during testing but fails to generalise.</w:t>
      </w:r>
    </w:p>
    <w:p>
      <w:pPr>
        <w:spacing w:after="40" w:before="80"/>
      </w:pPr>
      <w:r>
        <w:rPr>
          <w:rFonts w:ascii="Arial" w:cs="Arial" w:eastAsia="Arial" w:hAnsi="Arial"/>
          <w:b/>
          <w:bCs/>
          <w:color w:val="2E75B6"/>
          <w:sz w:val="20"/>
          <w:szCs w:val="20"/>
        </w:rPr>
        <w:t xml:space="preserve">Reward Hacking: </w:t>
      </w:r>
      <w:r>
        <w:rPr>
          <w:rFonts w:ascii="Arial" w:cs="Arial" w:eastAsia="Arial" w:hAnsi="Arial"/>
          <w:color w:val="2F2F2F"/>
          <w:sz w:val="20"/>
          <w:szCs w:val="20"/>
        </w:rPr>
        <w:t xml:space="preserve">When an agent finds unexpected ways to satisfy its objective function that violate the spirit of its goal (e.g. deleting tasks to make a to-do list shorter rather than completing them).</w:t>
      </w:r>
    </w:p>
    <w:p>
      <w:pPr>
        <w:spacing w:after="40" w:before="80"/>
      </w:pPr>
      <w:r>
        <w:rPr>
          <w:rFonts w:ascii="Arial" w:cs="Arial" w:eastAsia="Arial" w:hAnsi="Arial"/>
          <w:b/>
          <w:bCs/>
          <w:color w:val="2E75B6"/>
          <w:sz w:val="20"/>
          <w:szCs w:val="20"/>
        </w:rPr>
        <w:t xml:space="preserve">Specification Gaming: </w:t>
      </w:r>
      <w:r>
        <w:rPr>
          <w:rFonts w:ascii="Arial" w:cs="Arial" w:eastAsia="Arial" w:hAnsi="Arial"/>
          <w:color w:val="2F2F2F"/>
          <w:sz w:val="20"/>
          <w:szCs w:val="20"/>
        </w:rPr>
        <w:t xml:space="preserve">Agent behaviour that technically satisfies the letter of an instruction while violating its intent; a subset of reward hacking.</w:t>
      </w:r>
    </w:p>
    <w:p>
      <w:pPr>
        <w:spacing w:after="40" w:before="80"/>
      </w:pPr>
      <w:r>
        <w:rPr>
          <w:rFonts w:ascii="Arial" w:cs="Arial" w:eastAsia="Arial" w:hAnsi="Arial"/>
          <w:b/>
          <w:bCs/>
          <w:color w:val="2E75B6"/>
          <w:sz w:val="20"/>
          <w:szCs w:val="20"/>
        </w:rPr>
        <w:t xml:space="preserve">Compounding Errors: </w:t>
      </w:r>
      <w:r>
        <w:rPr>
          <w:rFonts w:ascii="Arial" w:cs="Arial" w:eastAsia="Arial" w:hAnsi="Arial"/>
          <w:color w:val="2F2F2F"/>
          <w:sz w:val="20"/>
          <w:szCs w:val="20"/>
        </w:rPr>
        <w:t xml:space="preserve">In multi-step agentic workflows, early errors can be amplified by subsequent steps. Unlike a single LLM call, agents can take irreversible actions based on flawed earlier reasoning.</w:t>
      </w:r>
    </w:p>
    <w:p>
      <w:pPr>
        <w:spacing w:after="40" w:before="80"/>
      </w:pPr>
      <w:r>
        <w:rPr>
          <w:rFonts w:ascii="Arial" w:cs="Arial" w:eastAsia="Arial" w:hAnsi="Arial"/>
          <w:b/>
          <w:bCs/>
          <w:color w:val="2E75B6"/>
          <w:sz w:val="20"/>
          <w:szCs w:val="20"/>
        </w:rPr>
        <w:t xml:space="preserve">Context Poisoning: </w:t>
      </w:r>
      <w:r>
        <w:rPr>
          <w:rFonts w:ascii="Arial" w:cs="Arial" w:eastAsia="Arial" w:hAnsi="Arial"/>
          <w:color w:val="2F2F2F"/>
          <w:sz w:val="20"/>
          <w:szCs w:val="20"/>
        </w:rPr>
        <w:t xml:space="preserve">Injecting false or misleading content into the agent's context window (e.g. via RAG retrieval or tool output) to manipulate its downstream decisions.</w:t>
      </w:r>
    </w:p>
    <w:p>
      <w:pPr>
        <w:spacing w:after="40" w:before="80"/>
      </w:pPr>
      <w:r>
        <w:rPr>
          <w:rFonts w:ascii="Arial" w:cs="Arial" w:eastAsia="Arial" w:hAnsi="Arial"/>
          <w:b/>
          <w:bCs/>
          <w:color w:val="2E75B6"/>
          <w:sz w:val="20"/>
          <w:szCs w:val="20"/>
        </w:rPr>
        <w:t xml:space="preserve">Sycophancy: </w:t>
      </w:r>
      <w:r>
        <w:rPr>
          <w:rFonts w:ascii="Arial" w:cs="Arial" w:eastAsia="Arial" w:hAnsi="Arial"/>
          <w:color w:val="2F2F2F"/>
          <w:sz w:val="20"/>
          <w:szCs w:val="20"/>
        </w:rPr>
        <w:t xml:space="preserve">A model tendency to agree with or validate user input even when it is incorrect, which in an agentic context can lead to executing incorrect user-specified plans without challenge.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888888"/>
        <w:sz w:val="16"/>
        <w:szCs w:val="16"/>
      </w:rPr>
      <w:t xml:space="preserve">[Organisation Name]  •  Agentic AI SDD Template v1.0</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888888"/>
        <w:sz w:val="16"/>
        <w:szCs w:val="16"/>
      </w:rPr>
      <w:t xml:space="preserve">Agentic AI — Software Design Document</w:t>
    </w:r>
    <w:r>
      <w:rPr>
        <w:rFonts w:ascii="Arial" w:cs="Arial" w:eastAsia="Arial" w:hAnsi="Arial"/>
        <w:color w:val="AAAAAA"/>
        <w:sz w:val="16"/>
        <w:szCs w:val="16"/>
      </w:rPr>
      <w:t xml:space="preserve">     |     CONFIDENTIAL — ARB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F2F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2026-06-05T05:26:25.319Z</dcterms:created>
  <dcterms:modified xsi:type="dcterms:W3CDTF">2026-06-05T05:26:25.320Z</dcterms:modified>
</cp:coreProperties>
</file>

<file path=docProps/custom.xml><?xml version="1.0" encoding="utf-8"?>
<Properties xmlns="http://schemas.openxmlformats.org/officeDocument/2006/custom-properties" xmlns:vt="http://schemas.openxmlformats.org/officeDocument/2006/docPropsVTypes"/>
</file>