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aps/>
          <w:color w:val="666666"/>
          <w:spacing w:val="30"/>
          <w:sz w:val="20"/>
          <w:szCs w:val="20"/>
        </w:rPr>
        <w:t xml:space="preserve">Reading Course Project Proposal</w:t>
      </w:r>
    </w:p>
    <w:p>
      <w:pPr>
        <w:spacing w:after="60"/>
        <w:jc w:val="center"/>
      </w:pPr>
      <w:r>
        <w:rPr>
          <w:rFonts w:ascii="Calibri" w:cs="Calibri" w:eastAsia="Calibri" w:hAnsi="Calibri"/>
          <w:b/>
          <w:bCs/>
          <w:color w:val="1F3864"/>
          <w:sz w:val="44"/>
          <w:szCs w:val="44"/>
        </w:rPr>
        <w:t xml:space="preserve">SemIntegrity</w:t>
      </w:r>
    </w:p>
    <w:p>
      <w:pPr>
        <w:spacing w:after="80"/>
        <w:jc w:val="center"/>
      </w:pPr>
      <w:r>
        <w:rPr>
          <w:rFonts w:ascii="Calibri" w:cs="Calibri" w:eastAsia="Calibri" w:hAnsi="Calibri"/>
          <w:b/>
          <w:bCs/>
          <w:color w:val="2E4A7D"/>
          <w:sz w:val="24"/>
          <w:szCs w:val="24"/>
        </w:rPr>
        <w:t xml:space="preserve">Measuring Semantic Self-Inconsistency in Large Language Models Across Structured Integrity Constraints</w:t>
      </w:r>
    </w:p>
    <w:p>
      <w:pPr>
        <w:spacing w:after="240"/>
        <w:jc w:val="center"/>
      </w:pPr>
      <w:r>
        <w:rPr>
          <w:rFonts w:ascii="Cambria" w:cs="Cambria" w:eastAsia="Cambria" w:hAnsi="Cambria"/>
          <w:i/>
          <w:iCs/>
          <w:color w:val="555555"/>
          <w:sz w:val="21"/>
          <w:szCs w:val="21"/>
        </w:rPr>
        <w:t xml:space="preserve">A Multi-Model Study of Constraint Structure, Detection Budget, and Contradiction Detection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7026"/>
      </w:tblGrid>
      <w:tr>
        <w:trPr>
          <w:tblHeader/>
        </w:trPr>
        <w:tc>
          <w:tcPr>
            <w:tcW w:type="dxa" w:w="20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Field</w:t>
            </w:r>
          </w:p>
        </w:tc>
        <w:tc>
          <w:tcPr>
            <w:tcW w:type="dxa" w:w="7026"/>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Detail</w:t>
            </w:r>
          </w:p>
        </w:tc>
      </w:tr>
      <w:tr>
        <w:tc>
          <w:tcPr>
            <w:tcW w:type="dxa" w:w="20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Topic</w:t>
            </w:r>
          </w:p>
        </w:tc>
        <w:tc>
          <w:tcPr>
            <w:tcW w:type="dxa" w:w="70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P13 — SemIntegrity</w:t>
            </w:r>
          </w:p>
        </w:tc>
      </w:tr>
      <w:tr>
        <w:tc>
          <w:tcPr>
            <w:tcW w:type="dxa" w:w="20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Student</w:t>
            </w:r>
          </w:p>
        </w:tc>
        <w:tc>
          <w:tcPr>
            <w:tcW w:type="dxa" w:w="70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Surajsinh Patil, M.E. Computer Science, BITS Pilani</w:t>
            </w:r>
          </w:p>
        </w:tc>
      </w:tr>
      <w:tr>
        <w:tc>
          <w:tcPr>
            <w:tcW w:type="dxa" w:w="20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Theme</w:t>
            </w:r>
          </w:p>
        </w:tc>
        <w:tc>
          <w:tcPr>
            <w:tcW w:type="dxa" w:w="70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E — Evaluation &amp; Standards</w:t>
            </w:r>
          </w:p>
        </w:tc>
      </w:tr>
      <w:tr>
        <w:tc>
          <w:tcPr>
            <w:tcW w:type="dxa" w:w="20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Revision</w:t>
            </w:r>
          </w:p>
        </w:tc>
        <w:tc>
          <w:tcPr>
            <w:tcW w:type="dxa" w:w="70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v2 — methodology frozen; novelty statement pending Phase 0 literature sweep</w:t>
            </w:r>
          </w:p>
        </w:tc>
      </w:tr>
    </w:tbl>
    <w:p>
      <w:pPr>
        <w:spacing w:after="200"/>
      </w:pPr>
    </w:p>
    <w:p>
      <w:pPr>
        <w:pStyle w:val="Heading1"/>
        <w:spacing w:after="160" w:before="360"/>
      </w:pPr>
      <w:r>
        <w:rPr>
          <w:rFonts w:ascii="Calibri" w:cs="Calibri" w:eastAsia="Calibri" w:hAnsi="Calibri"/>
          <w:b/>
          <w:bCs/>
          <w:color w:val="1F3864"/>
          <w:sz w:val="30"/>
          <w:szCs w:val="30"/>
        </w:rPr>
        <w:t xml:space="preserve">1. Problem Statement</w:t>
      </w:r>
    </w:p>
    <w:p>
      <w:pPr>
        <w:spacing w:after="130" w:line="280"/>
        <w:jc w:val="both"/>
      </w:pPr>
      <w:r>
        <w:rPr>
          <w:rFonts w:ascii="Cambria" w:cs="Cambria" w:eastAsia="Cambria" w:hAnsi="Cambria"/>
          <w:sz w:val="20"/>
          <w:szCs w:val="20"/>
        </w:rPr>
        <w:t xml:space="preserve">Large language models routinely produce mutually incompatible answers to questions that are semantically equivalent, asserting a fact under one phrasing and contradicting it under another. This behaviour is well documented at the level of individual factual assertions. What has not been characterised is how it varies with the logical structure of the integrity condition being violated, how reliable automated contradiction detectors remain as that structure becomes more demanding, and how many semantically equivalent probes must be issued before an existing inconsistency is likely to surface.</w:t>
      </w:r>
    </w:p>
    <w:p>
      <w:pPr>
        <w:spacing w:after="130" w:line="280"/>
        <w:jc w:val="both"/>
      </w:pPr>
      <w:r>
        <w:rPr>
          <w:rFonts w:ascii="Cambria" w:cs="Cambria" w:eastAsia="Cambria" w:hAnsi="Cambria"/>
          <w:sz w:val="20"/>
          <w:szCs w:val="20"/>
        </w:rPr>
        <w:t xml:space="preserve">These three quantities are not independent, and measuring any one of them alone is misleading. A contradiction rate is uninterpretable without knowing whether the detector that produced it degrades along the same axis as the phenomenon. A detection rate is meaningless without knowing the probe budget it assumed. And neither is informative unless factual error is held separate from inconsistency, since a model that is reliably wrong and a model that is unreliable are different failure modes with different remedies.</w:t>
      </w:r>
    </w:p>
    <w:p>
      <w:pPr>
        <w:spacing w:after="130" w:line="280"/>
        <w:jc w:val="both"/>
      </w:pPr>
      <w:r>
        <w:rPr>
          <w:rFonts w:ascii="Cambria" w:cs="Cambria" w:eastAsia="Cambria" w:hAnsi="Cambria"/>
          <w:b/>
          <w:bCs/>
          <w:i w:val="false"/>
          <w:iCs w:val="false"/>
          <w:sz w:val="20"/>
          <w:szCs w:val="20"/>
        </w:rPr>
        <w:t xml:space="preserve">This project measures all three jointly, on a hand-authored benchmark of integrity constraints grounded in externally verifiable knowledge.</w:t>
      </w:r>
    </w:p>
    <w:p>
      <w:pPr>
        <w:pStyle w:val="Heading2"/>
        <w:spacing w:after="110" w:before="260"/>
      </w:pPr>
      <w:r>
        <w:rPr>
          <w:rFonts w:ascii="Calibri" w:cs="Calibri" w:eastAsia="Calibri" w:hAnsi="Calibri"/>
          <w:b/>
          <w:bCs/>
          <w:color w:val="1F3864"/>
          <w:sz w:val="23"/>
          <w:szCs w:val="23"/>
        </w:rPr>
        <w:t xml:space="preserve">1.1 Scope of the claim</w:t>
      </w:r>
    </w:p>
    <w:p>
      <w:pPr>
        <w:spacing w:after="130" w:line="280"/>
        <w:jc w:val="both"/>
      </w:pPr>
      <w:r>
        <w:rPr>
          <w:rFonts w:ascii="Cambria" w:cs="Cambria" w:eastAsia="Cambria" w:hAnsi="Cambria"/>
          <w:sz w:val="20"/>
          <w:szCs w:val="20"/>
        </w:rPr>
        <w:t xml:space="preserve">The study observes </w:t>
      </w:r>
      <w:r>
        <w:rPr>
          <w:rFonts w:ascii="Cambria" w:cs="Cambria" w:eastAsia="Cambria" w:hAnsi="Cambria"/>
          <w:b w:val="false"/>
          <w:bCs w:val="false"/>
          <w:i/>
          <w:iCs/>
          <w:sz w:val="20"/>
          <w:szCs w:val="20"/>
        </w:rPr>
        <w:t xml:space="preserve">output-level behaviour</w:t>
      </w:r>
      <w:r>
        <w:rPr>
          <w:rFonts w:ascii="Cambria" w:cs="Cambria" w:eastAsia="Cambria" w:hAnsi="Cambria"/>
          <w:sz w:val="20"/>
          <w:szCs w:val="20"/>
        </w:rPr>
        <w:t xml:space="preserve">. It does not, and with this design cannot, establish that observed contradictions originate in the model's parametric memory; that would require mechanistic evidence outside the scope of a behavioural evaluation. Every claim in this work is therefore stated as </w:t>
      </w:r>
      <w:r>
        <w:rPr>
          <w:rFonts w:ascii="Cambria" w:cs="Cambria" w:eastAsia="Cambria" w:hAnsi="Cambria"/>
          <w:b/>
          <w:bCs/>
          <w:i w:val="false"/>
          <w:iCs w:val="false"/>
          <w:sz w:val="20"/>
          <w:szCs w:val="20"/>
        </w:rPr>
        <w:t xml:space="preserve">semantic self-inconsistency under meaning-preserving probes</w:t>
      </w:r>
      <w:r>
        <w:rPr>
          <w:rFonts w:ascii="Cambria" w:cs="Cambria" w:eastAsia="Cambria" w:hAnsi="Cambria"/>
          <w:sz w:val="20"/>
          <w:szCs w:val="20"/>
        </w:rPr>
        <w:t xml:space="preserve">, and the classical-database framing in Section 2 is used as motivation and interpretation, never as a measurement claim.</w:t>
      </w:r>
    </w:p>
    <w:p>
      <w:pPr>
        <w:pStyle w:val="Heading1"/>
        <w:spacing w:after="160" w:before="360"/>
      </w:pPr>
      <w:r>
        <w:rPr>
          <w:rFonts w:ascii="Calibri" w:cs="Calibri" w:eastAsia="Calibri" w:hAnsi="Calibri"/>
          <w:b/>
          <w:bCs/>
          <w:color w:val="1F3864"/>
          <w:sz w:val="30"/>
          <w:szCs w:val="30"/>
        </w:rPr>
        <w:t xml:space="preserve">2. Motivation and Positioning</w:t>
      </w:r>
    </w:p>
    <w:p>
      <w:pPr>
        <w:pStyle w:val="Heading2"/>
        <w:spacing w:after="110" w:before="260"/>
      </w:pPr>
      <w:r>
        <w:rPr>
          <w:rFonts w:ascii="Calibri" w:cs="Calibri" w:eastAsia="Calibri" w:hAnsi="Calibri"/>
          <w:b/>
          <w:bCs/>
          <w:color w:val="1F3864"/>
          <w:sz w:val="23"/>
          <w:szCs w:val="23"/>
        </w:rPr>
        <w:t xml:space="preserve">2.1 The integrity-constraint analogy</w:t>
      </w:r>
    </w:p>
    <w:p>
      <w:pPr>
        <w:spacing w:after="130" w:line="280"/>
        <w:jc w:val="both"/>
      </w:pPr>
      <w:r>
        <w:rPr>
          <w:rFonts w:ascii="Cambria" w:cs="Cambria" w:eastAsia="Cambria" w:hAnsi="Cambria"/>
          <w:sz w:val="20"/>
          <w:szCs w:val="20"/>
        </w:rPr>
        <w:t xml:space="preserve">Classical databases reject inconsistent states before commit through primary keys, foreign keys, NOT NULL and CHECK constraints. A system that answers questions from parametric weights has no analogous admission control: incompatible assertions can be produced with no mechanism flagging the conflict, and there is no explicit state to inspect. The analogy is imperfect in an important way — a database has a declared schema and a transaction boundary, while a language model has neither — but it poses a research question worth answering:</w:t>
      </w:r>
    </w:p>
    <w:p>
      <w:pPr>
        <w:spacing w:after="130" w:line="280"/>
        <w:ind w:left="360"/>
        <w:jc w:val="left"/>
      </w:pPr>
      <w:r>
        <w:rPr>
          <w:rFonts w:ascii="Cambria" w:cs="Cambria" w:eastAsia="Cambria" w:hAnsi="Cambria"/>
          <w:b/>
          <w:bCs/>
          <w:i/>
          <w:iCs/>
          <w:sz w:val="20"/>
          <w:szCs w:val="20"/>
        </w:rPr>
        <w:t xml:space="preserve">Can an external probing procedure approximate integrity verification for a system that exposes no state to check, and at what cost?</w:t>
      </w:r>
    </w:p>
    <w:p>
      <w:pPr>
        <w:pStyle w:val="Heading2"/>
        <w:spacing w:after="110" w:before="260"/>
      </w:pPr>
      <w:r>
        <w:rPr>
          <w:rFonts w:ascii="Calibri" w:cs="Calibri" w:eastAsia="Calibri" w:hAnsi="Calibri"/>
          <w:b/>
          <w:bCs/>
          <w:color w:val="1F3864"/>
          <w:sz w:val="23"/>
          <w:szCs w:val="23"/>
        </w:rPr>
        <w:t xml:space="preserve">2.2 What prior work already establishes</w:t>
      </w:r>
    </w:p>
    <w:p>
      <w:pPr>
        <w:spacing w:after="130" w:line="280"/>
        <w:jc w:val="both"/>
      </w:pPr>
      <w:r>
        <w:rPr>
          <w:rFonts w:ascii="Cambria" w:cs="Cambria" w:eastAsia="Cambria" w:hAnsi="Cambria"/>
          <w:sz w:val="20"/>
          <w:szCs w:val="20"/>
        </w:rPr>
        <w:t xml:space="preserve">The consistency literature is substantial and has grown quickly. The following are established results, not gaps, and the proposal claims none of them as contributions:</w:t>
      </w:r>
    </w:p>
    <w:p>
      <w:pPr>
        <w:pStyle w:val="ListParagraph"/>
        <w:numPr>
          <w:ilvl w:val="0"/>
          <w:numId w:val="2"/>
        </w:numPr>
        <w:spacing w:after="70" w:line="280"/>
      </w:pPr>
      <w:r>
        <w:rPr>
          <w:rFonts w:ascii="Cambria" w:cs="Cambria" w:eastAsia="Cambria" w:hAnsi="Cambria"/>
          <w:b/>
          <w:bCs/>
          <w:i w:val="false"/>
          <w:iCs w:val="false"/>
          <w:sz w:val="20"/>
          <w:szCs w:val="20"/>
        </w:rPr>
        <w:t xml:space="preserve">Paraphrase-level factual inconsistency. </w:t>
      </w:r>
      <w:r>
        <w:rPr>
          <w:rFonts w:ascii="Cambria" w:cs="Cambria" w:eastAsia="Cambria" w:hAnsi="Cambria"/>
          <w:sz w:val="20"/>
          <w:szCs w:val="20"/>
        </w:rPr>
        <w:t xml:space="preserve">ParaRel (Elazar et al., TACL 2021) constructs Wikidata-grounded cloze paraphrases and shows that pretrained model consistency is poor with high variance across relations.</w:t>
      </w:r>
    </w:p>
    <w:p>
      <w:pPr>
        <w:pStyle w:val="ListParagraph"/>
        <w:numPr>
          <w:ilvl w:val="0"/>
          <w:numId w:val="2"/>
        </w:numPr>
        <w:spacing w:after="70" w:line="280"/>
      </w:pPr>
      <w:r>
        <w:rPr>
          <w:rFonts w:ascii="Cambria" w:cs="Cambria" w:eastAsia="Cambria" w:hAnsi="Cambria"/>
          <w:b/>
          <w:bCs/>
          <w:i w:val="false"/>
          <w:iCs w:val="false"/>
          <w:sz w:val="20"/>
          <w:szCs w:val="20"/>
        </w:rPr>
        <w:t xml:space="preserve">Constraint-based belief consistency. </w:t>
      </w:r>
      <w:r>
        <w:rPr>
          <w:rFonts w:ascii="Cambria" w:cs="Cambria" w:eastAsia="Cambria" w:hAnsi="Cambria"/>
          <w:sz w:val="20"/>
          <w:szCs w:val="20"/>
        </w:rPr>
        <w:t xml:space="preserve">BeliefBank (Kassner et al., EMNLP 2021) adds symbolic memory and logical constraints over a belief graph.</w:t>
      </w:r>
    </w:p>
    <w:p>
      <w:pPr>
        <w:pStyle w:val="ListParagraph"/>
        <w:numPr>
          <w:ilvl w:val="0"/>
          <w:numId w:val="2"/>
        </w:numPr>
        <w:spacing w:after="70" w:line="280"/>
      </w:pPr>
      <w:r>
        <w:rPr>
          <w:rFonts w:ascii="Cambria" w:cs="Cambria" w:eastAsia="Cambria" w:hAnsi="Cambria"/>
          <w:b/>
          <w:bCs/>
          <w:i w:val="false"/>
          <w:iCs w:val="false"/>
          <w:sz w:val="20"/>
          <w:szCs w:val="20"/>
        </w:rPr>
        <w:t xml:space="preserve">NLI-based consistency correction. </w:t>
      </w:r>
      <w:r>
        <w:rPr>
          <w:rFonts w:ascii="Cambria" w:cs="Cambria" w:eastAsia="Cambria" w:hAnsi="Cambria"/>
          <w:sz w:val="20"/>
          <w:szCs w:val="20"/>
        </w:rPr>
        <w:t xml:space="preserve">ConCoRD (Mitchell et al., 2022) uses NLI plus a constraint reasoner to improve self-consistency.</w:t>
      </w:r>
    </w:p>
    <w:p>
      <w:pPr>
        <w:pStyle w:val="ListParagraph"/>
        <w:numPr>
          <w:ilvl w:val="0"/>
          <w:numId w:val="2"/>
        </w:numPr>
        <w:spacing w:after="70" w:line="280"/>
      </w:pPr>
      <w:r>
        <w:rPr>
          <w:rFonts w:ascii="Cambria" w:cs="Cambria" w:eastAsia="Cambria" w:hAnsi="Cambria"/>
          <w:b/>
          <w:bCs/>
          <w:i w:val="false"/>
          <w:iCs w:val="false"/>
          <w:sz w:val="20"/>
          <w:szCs w:val="20"/>
        </w:rPr>
        <w:t xml:space="preserve">Sampled-response consistency. </w:t>
      </w:r>
      <w:r>
        <w:rPr>
          <w:rFonts w:ascii="Cambria" w:cs="Cambria" w:eastAsia="Cambria" w:hAnsi="Cambria"/>
          <w:sz w:val="20"/>
          <w:szCs w:val="20"/>
        </w:rPr>
        <w:t xml:space="preserve">SelfCheckGPT (Manakul et al., EMNLP 2023) exploits disagreement among sampled generations for hallucination detection.</w:t>
      </w:r>
    </w:p>
    <w:p>
      <w:pPr>
        <w:pStyle w:val="ListParagraph"/>
        <w:numPr>
          <w:ilvl w:val="0"/>
          <w:numId w:val="2"/>
        </w:numPr>
        <w:spacing w:after="70" w:line="280"/>
      </w:pPr>
      <w:r>
        <w:rPr>
          <w:rFonts w:ascii="Cambria" w:cs="Cambria" w:eastAsia="Cambria" w:hAnsi="Cambria"/>
          <w:b/>
          <w:bCs/>
          <w:i w:val="false"/>
          <w:iCs w:val="false"/>
          <w:sz w:val="20"/>
          <w:szCs w:val="20"/>
        </w:rPr>
        <w:t xml:space="preserve">Prompted self-contradiction detection. </w:t>
      </w:r>
      <w:r>
        <w:rPr>
          <w:rFonts w:ascii="Cambria" w:cs="Cambria" w:eastAsia="Cambria" w:hAnsi="Cambria"/>
          <w:sz w:val="20"/>
          <w:szCs w:val="20"/>
        </w:rPr>
        <w:t xml:space="preserve">Mündler et al. (2023) trigger, detect and mitigate self-contradiction using prompting alone, reporting substantial prevalence in state-of-the-art models.</w:t>
      </w:r>
    </w:p>
    <w:p>
      <w:pPr>
        <w:pStyle w:val="ListParagraph"/>
        <w:numPr>
          <w:ilvl w:val="0"/>
          <w:numId w:val="2"/>
        </w:numPr>
        <w:spacing w:after="70" w:line="280"/>
      </w:pPr>
      <w:r>
        <w:rPr>
          <w:rFonts w:ascii="Cambria" w:cs="Cambria" w:eastAsia="Cambria" w:hAnsi="Cambria"/>
          <w:b/>
          <w:bCs/>
          <w:i w:val="false"/>
          <w:iCs w:val="false"/>
          <w:sz w:val="20"/>
          <w:szCs w:val="20"/>
        </w:rPr>
        <w:t xml:space="preserve">Directionality failure. </w:t>
      </w:r>
      <w:r>
        <w:rPr>
          <w:rFonts w:ascii="Cambria" w:cs="Cambria" w:eastAsia="Cambria" w:hAnsi="Cambria"/>
          <w:sz w:val="20"/>
          <w:szCs w:val="20"/>
        </w:rPr>
        <w:t xml:space="preserve">The Reversal Curse (Berglund et al., 2023) shows models trained on “A is B” may fail on “B is A”.</w:t>
      </w:r>
    </w:p>
    <w:p>
      <w:pPr>
        <w:pStyle w:val="ListParagraph"/>
        <w:numPr>
          <w:ilvl w:val="0"/>
          <w:numId w:val="2"/>
        </w:numPr>
        <w:spacing w:after="70" w:line="280"/>
      </w:pPr>
      <w:r>
        <w:rPr>
          <w:rFonts w:ascii="Cambria" w:cs="Cambria" w:eastAsia="Cambria" w:hAnsi="Cambria"/>
          <w:b/>
          <w:bCs/>
          <w:i w:val="false"/>
          <w:iCs w:val="false"/>
          <w:sz w:val="20"/>
          <w:szCs w:val="20"/>
        </w:rPr>
        <w:t xml:space="preserve">Complexity-stratified logical consistency. </w:t>
      </w:r>
      <w:r>
        <w:rPr>
          <w:rFonts w:ascii="Cambria" w:cs="Cambria" w:eastAsia="Cambria" w:hAnsi="Cambria"/>
          <w:sz w:val="20"/>
          <w:szCs w:val="20"/>
        </w:rPr>
        <w:t xml:space="preserve">LogiConBench (ICLR 2026) benchmarks logical consistency using controllable-depth logical graphs with explicit reasoning paths. ChaosBench-Logic covers atomic, multi-hop and first-order inference with contradiction metrics.</w:t>
      </w:r>
    </w:p>
    <w:p>
      <w:pPr>
        <w:pStyle w:val="ListParagraph"/>
        <w:numPr>
          <w:ilvl w:val="0"/>
          <w:numId w:val="2"/>
        </w:numPr>
        <w:spacing w:after="70" w:line="280"/>
      </w:pPr>
      <w:r>
        <w:rPr>
          <w:rFonts w:ascii="Cambria" w:cs="Cambria" w:eastAsia="Cambria" w:hAnsi="Cambria"/>
          <w:b/>
          <w:bCs/>
          <w:i w:val="false"/>
          <w:iCs w:val="false"/>
          <w:sz w:val="20"/>
          <w:szCs w:val="20"/>
        </w:rPr>
        <w:t xml:space="preserve">Consistency proxies and scale. </w:t>
      </w:r>
      <w:r>
        <w:rPr>
          <w:rFonts w:ascii="Cambria" w:cs="Cambria" w:eastAsia="Cambria" w:hAnsi="Cambria"/>
          <w:sz w:val="20"/>
          <w:szCs w:val="20"/>
        </w:rPr>
        <w:t xml:space="preserve">REPAIR quantifies logical preference consistency via transitivity, commutativity and negation invariance. Tsujimura et al. (ACL 2026) isolate belief consistency from task-solving ability using Jensen–Shannon divergence over response distributions, and report that consistency does not necessarily improve with model size.</w:t>
      </w:r>
    </w:p>
    <w:p>
      <w:pPr>
        <w:pStyle w:val="ListParagraph"/>
        <w:numPr>
          <w:ilvl w:val="0"/>
          <w:numId w:val="2"/>
        </w:numPr>
        <w:spacing w:after="70" w:line="280"/>
      </w:pPr>
      <w:r>
        <w:rPr>
          <w:rFonts w:ascii="Cambria" w:cs="Cambria" w:eastAsia="Cambria" w:hAnsi="Cambria"/>
          <w:b/>
          <w:bCs/>
          <w:i w:val="false"/>
          <w:iCs w:val="false"/>
          <w:sz w:val="20"/>
          <w:szCs w:val="20"/>
        </w:rPr>
        <w:t xml:space="preserve">Prompt-perturbation robustness. </w:t>
      </w:r>
      <w:r>
        <w:rPr>
          <w:rFonts w:ascii="Cambria" w:cs="Cambria" w:eastAsia="Cambria" w:hAnsi="Cambria"/>
          <w:sz w:val="20"/>
          <w:szCs w:val="20"/>
        </w:rPr>
        <w:t xml:space="preserve">Flip-Flop Consistency (ACL 2026) studies inconsistency across prompt perturbations; “Logical Consistency as a Bridge” (ACL 2026) applies logical-consistency constraints to hallucination detection.</w:t>
      </w:r>
    </w:p>
    <w:p>
      <w:pPr>
        <w:spacing w:after="130" w:line="280"/>
        <w:jc w:val="both"/>
      </w:pPr>
      <w:r>
        <w:rPr>
          <w:rFonts w:ascii="Cambria" w:cs="Cambria" w:eastAsia="Cambria" w:hAnsi="Cambria"/>
          <w:b/>
          <w:bCs/>
          <w:i w:val="false"/>
          <w:iCs w:val="false"/>
          <w:sz w:val="20"/>
          <w:szCs w:val="20"/>
        </w:rPr>
        <w:t xml:space="preserve">Four consequences follow directly. </w:t>
      </w:r>
      <w:r>
        <w:rPr>
          <w:rFonts w:ascii="Cambria" w:cs="Cambria" w:eastAsia="Cambria" w:hAnsi="Cambria"/>
          <w:sz w:val="20"/>
          <w:szCs w:val="20"/>
        </w:rPr>
        <w:t xml:space="preserve">First, “LLMs contradict themselves” is not a finding. Second, a complexity axis for consistency evaluation already exists in synthetic symbolic settings. Third, Jensen–Shannon divergence over answer distributions as a consistency measure has direct precedent. Fourth, the relationship between consistency and model scale has already been studied. Each of these constrains what this project may claim.</w:t>
      </w:r>
    </w:p>
    <w:p>
      <w:pPr>
        <w:pStyle w:val="Heading2"/>
        <w:spacing w:after="110" w:before="260"/>
      </w:pPr>
      <w:r>
        <w:rPr>
          <w:rFonts w:ascii="Calibri" w:cs="Calibri" w:eastAsia="Calibri" w:hAnsi="Calibri"/>
          <w:b/>
          <w:bCs/>
          <w:color w:val="1F3864"/>
          <w:sz w:val="23"/>
          <w:szCs w:val="23"/>
        </w:rPr>
        <w:t xml:space="preserve">2.3 The combination that remains open</w:t>
      </w:r>
    </w:p>
    <w:p>
      <w:pPr>
        <w:spacing w:after="130" w:line="280"/>
        <w:jc w:val="both"/>
      </w:pPr>
      <w:r>
        <w:rPr>
          <w:rFonts w:ascii="Cambria" w:cs="Cambria" w:eastAsia="Cambria" w:hAnsi="Cambria"/>
          <w:sz w:val="20"/>
          <w:szCs w:val="20"/>
        </w:rPr>
        <w:t xml:space="preserve">Existing complexity-stratified work manipulates formal reasoning structure in synthetic settings, while existing knowledge-grounded work is largely confined to atomic factual relations. What has not been done is to combine them and add the measurement-validity layer:</w:t>
      </w:r>
    </w:p>
    <w:p>
      <w:pPr>
        <w:pStyle w:val="ListParagraph"/>
        <w:numPr>
          <w:ilvl w:val="0"/>
          <w:numId w:val="3"/>
        </w:numPr>
        <w:spacing w:after="70" w:line="280"/>
      </w:pPr>
      <w:r>
        <w:rPr>
          <w:rFonts w:ascii="Cambria" w:cs="Cambria" w:eastAsia="Cambria" w:hAnsi="Cambria"/>
          <w:b/>
          <w:bCs/>
          <w:i w:val="false"/>
          <w:iCs w:val="false"/>
          <w:sz w:val="20"/>
          <w:szCs w:val="20"/>
        </w:rPr>
        <w:t xml:space="preserve">Knowledge-grounded, not synthetic. </w:t>
      </w:r>
      <w:r>
        <w:rPr>
          <w:rFonts w:ascii="Cambria" w:cs="Cambria" w:eastAsia="Cambria" w:hAnsi="Cambria"/>
          <w:sz w:val="20"/>
          <w:szCs w:val="20"/>
        </w:rPr>
        <w:t xml:space="preserve">Constraints are hand-authored over externally verifiable real-world facts with authoritative ground truth, rather than generated from symbolic graphs.</w:t>
      </w:r>
    </w:p>
    <w:p>
      <w:pPr>
        <w:pStyle w:val="ListParagraph"/>
        <w:numPr>
          <w:ilvl w:val="0"/>
          <w:numId w:val="3"/>
        </w:numPr>
        <w:spacing w:after="70" w:line="280"/>
      </w:pPr>
      <w:r>
        <w:rPr>
          <w:rFonts w:ascii="Cambria" w:cs="Cambria" w:eastAsia="Cambria" w:hAnsi="Cambria"/>
          <w:b/>
          <w:bCs/>
          <w:i w:val="false"/>
          <w:iCs w:val="false"/>
          <w:sz w:val="20"/>
          <w:szCs w:val="20"/>
        </w:rPr>
        <w:t xml:space="preserve">Three reliability dimensions held separate. </w:t>
      </w:r>
      <w:r>
        <w:rPr>
          <w:rFonts w:ascii="Cambria" w:cs="Cambria" w:eastAsia="Cambria" w:hAnsi="Cambria"/>
          <w:sz w:val="20"/>
          <w:szCs w:val="20"/>
        </w:rPr>
        <w:t xml:space="preserve">Factual accuracy, consistency and abstention are measured independently, so that a model which abstains on everything is not scored as maximally consistent.</w:t>
      </w:r>
    </w:p>
    <w:p>
      <w:pPr>
        <w:pStyle w:val="ListParagraph"/>
        <w:numPr>
          <w:ilvl w:val="0"/>
          <w:numId w:val="3"/>
        </w:numPr>
        <w:spacing w:after="70" w:line="280"/>
      </w:pPr>
      <w:r>
        <w:rPr>
          <w:rFonts w:ascii="Cambria" w:cs="Cambria" w:eastAsia="Cambria" w:hAnsi="Cambria"/>
          <w:b/>
          <w:bCs/>
          <w:i w:val="false"/>
          <w:iCs w:val="false"/>
          <w:sz w:val="20"/>
          <w:szCs w:val="20"/>
        </w:rPr>
        <w:t xml:space="preserve">Detector reliability validated per constraint class. </w:t>
      </w:r>
      <w:r>
        <w:rPr>
          <w:rFonts w:ascii="Cambria" w:cs="Cambria" w:eastAsia="Cambria" w:hAnsi="Cambria"/>
          <w:sz w:val="20"/>
          <w:szCs w:val="20"/>
        </w:rPr>
        <w:t xml:space="preserve">Every automated detector is scored against blinded human judgment separately at each class, so that detector degradation is measured rather than assumed away.</w:t>
      </w:r>
    </w:p>
    <w:p>
      <w:pPr>
        <w:pStyle w:val="ListParagraph"/>
        <w:numPr>
          <w:ilvl w:val="0"/>
          <w:numId w:val="3"/>
        </w:numPr>
        <w:spacing w:after="70" w:line="280"/>
      </w:pPr>
      <w:r>
        <w:rPr>
          <w:rFonts w:ascii="Cambria" w:cs="Cambria" w:eastAsia="Cambria" w:hAnsi="Cambria"/>
          <w:b/>
          <w:bCs/>
          <w:i w:val="false"/>
          <w:iCs w:val="false"/>
          <w:sz w:val="20"/>
          <w:szCs w:val="20"/>
        </w:rPr>
        <w:t xml:space="preserve">An empirical probe-budget curve. </w:t>
      </w:r>
      <w:r>
        <w:rPr>
          <w:rFonts w:ascii="Cambria" w:cs="Cambria" w:eastAsia="Cambria" w:hAnsi="Cambria"/>
          <w:sz w:val="20"/>
          <w:szCs w:val="20"/>
        </w:rPr>
        <w:t xml:space="preserve">How many meaning-preserving probes are required before an existing inconsistency is recovered, and where the returns diminish.</w:t>
      </w:r>
    </w:p>
    <w:p>
      <w:pPr>
        <w:spacing w:after="130" w:line="280"/>
        <w:jc w:val="both"/>
      </w:pPr>
      <w:r>
        <w:rPr>
          <w:rFonts w:ascii="Cambria" w:cs="Cambria" w:eastAsia="Cambria" w:hAnsi="Cambria"/>
          <w:b/>
          <w:bCs/>
          <w:i w:val="false"/>
          <w:iCs w:val="false"/>
          <w:sz w:val="20"/>
          <w:szCs w:val="20"/>
        </w:rPr>
        <w:t xml:space="preserve">This positioning is provisional. </w:t>
      </w:r>
      <w:r>
        <w:rPr>
          <w:rFonts w:ascii="Cambria" w:cs="Cambria" w:eastAsia="Cambria" w:hAnsi="Cambria"/>
          <w:sz w:val="20"/>
          <w:szCs w:val="20"/>
        </w:rPr>
        <w:t xml:space="preserve">It will be finalised only after the systematic literature sweep in Phase 0 (Section 4.12). No priority or “first” claim of any kind will be made in the final paper.</w:t>
      </w:r>
    </w:p>
    <w:p>
      <w:pPr>
        <w:pStyle w:val="Heading2"/>
        <w:spacing w:after="110" w:before="260"/>
      </w:pPr>
      <w:r>
        <w:rPr>
          <w:rFonts w:ascii="Calibri" w:cs="Calibri" w:eastAsia="Calibri" w:hAnsi="Calibri"/>
          <w:b/>
          <w:bCs/>
          <w:color w:val="1F3864"/>
          <w:sz w:val="23"/>
          <w:szCs w:val="23"/>
        </w:rPr>
        <w:t xml:space="preserve">2.4 Relationship to the parent SemIntegrity framework</w:t>
      </w:r>
    </w:p>
    <w:p>
      <w:pPr>
        <w:spacing w:after="130" w:line="280"/>
        <w:jc w:val="both"/>
      </w:pPr>
      <w:r>
        <w:rPr>
          <w:rFonts w:ascii="Cambria" w:cs="Cambria" w:eastAsia="Cambria" w:hAnsi="Cambria"/>
          <w:sz w:val="20"/>
          <w:szCs w:val="20"/>
        </w:rPr>
        <w:t xml:space="preserve">Hypothesis H1 of the parent proposal assumes that constraint verification with 50 probe queries achieves at least 90% detection for atomic and conjunctive constraints, falling to at most 60% for first-order constraints. That assumption is load-bearing for the wider framework and has never been tested empirically. It is also a claim about detection rate, not violation rate — a distinction the original proposal conflated, and which this revision separates explicitly (Section 3).</w:t>
      </w:r>
    </w:p>
    <w:p>
      <w:pPr>
        <w:spacing w:after="130" w:line="280"/>
        <w:jc w:val="both"/>
      </w:pPr>
      <w:r>
        <w:rPr>
          <w:rFonts w:ascii="Cambria" w:cs="Cambria" w:eastAsia="Cambria" w:hAnsi="Cambria"/>
          <w:b/>
          <w:bCs/>
          <w:i w:val="false"/>
          <w:iCs w:val="false"/>
          <w:sz w:val="20"/>
          <w:szCs w:val="20"/>
        </w:rPr>
        <w:t xml:space="preserve">The K = 50 saturation tier of this study exists specifically to test that assumption at its stated budget, on a per-class basis. </w:t>
      </w:r>
      <w:r>
        <w:rPr>
          <w:rFonts w:ascii="Cambria" w:cs="Cambria" w:eastAsia="Cambria" w:hAnsi="Cambria"/>
          <w:sz w:val="20"/>
          <w:szCs w:val="20"/>
        </w:rPr>
        <w:t xml:space="preserve">Because H1 makes a per-class claim, the saturation subset is sized to permit a per-class read rather than only a pooled one.</w:t>
      </w:r>
    </w:p>
    <w:p>
      <w:pPr>
        <w:pStyle w:val="Heading1"/>
        <w:spacing w:after="160" w:before="360"/>
      </w:pPr>
      <w:r>
        <w:rPr>
          <w:rFonts w:ascii="Calibri" w:cs="Calibri" w:eastAsia="Calibri" w:hAnsi="Calibri"/>
          <w:b/>
          <w:bCs/>
          <w:color w:val="1F3864"/>
          <w:sz w:val="30"/>
          <w:szCs w:val="30"/>
        </w:rPr>
        <w:t xml:space="preserve">3. Research Questions and Hypotheses</w:t>
      </w:r>
    </w:p>
    <w:p>
      <w:pPr>
        <w:pStyle w:val="Heading2"/>
        <w:spacing w:after="110" w:before="260"/>
      </w:pPr>
      <w:r>
        <w:rPr>
          <w:rFonts w:ascii="Calibri" w:cs="Calibri" w:eastAsia="Calibri" w:hAnsi="Calibri"/>
          <w:b/>
          <w:bCs/>
          <w:color w:val="1F3864"/>
          <w:sz w:val="23"/>
          <w:szCs w:val="23"/>
        </w:rPr>
        <w:t xml:space="preserve">3.1 Research questions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700"/>
        <w:gridCol w:w="8326"/>
      </w:tblGrid>
      <w:tr>
        <w:trPr>
          <w:tblHeader/>
        </w:trPr>
        <w:tc>
          <w:tcPr>
            <w:tcW w:type="dxa" w:w="7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w:t>
            </w:r>
          </w:p>
        </w:tc>
        <w:tc>
          <w:tcPr>
            <w:tcW w:type="dxa" w:w="8326"/>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Research question</w:t>
            </w:r>
          </w:p>
        </w:tc>
      </w:tr>
      <w:tr>
        <w:tc>
          <w:tcPr>
            <w:tcW w:type="dxa" w:w="7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RQ1</w:t>
            </w:r>
          </w:p>
        </w:tc>
        <w:tc>
          <w:tcPr>
            <w:tcW w:type="dxa" w:w="83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How does semantic self-inconsistency under meaning-preserving probes vary across structured integrity-constraint classes?</w:t>
            </w:r>
          </w:p>
        </w:tc>
      </w:tr>
      <w:tr>
        <w:tc>
          <w:tcPr>
            <w:tcW w:type="dxa" w:w="7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RQ2</w:t>
            </w:r>
          </w:p>
        </w:tc>
        <w:tc>
          <w:tcPr>
            <w:tcW w:type="dxa" w:w="83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Does this pattern generalise across independently developed model families, and how does it vary with model scale within a single family?</w:t>
            </w:r>
          </w:p>
        </w:tc>
      </w:tr>
      <w:tr>
        <w:tc>
          <w:tcPr>
            <w:tcW w:type="dxa" w:w="7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RQ3</w:t>
            </w:r>
          </w:p>
        </w:tc>
        <w:tc>
          <w:tcPr>
            <w:tcW w:type="dxa" w:w="83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How does contradiction recovery change as the semantic probe budget increases, and at what budget do additional probes yield diminishing returns?</w:t>
            </w:r>
          </w:p>
        </w:tc>
      </w:tr>
      <w:tr>
        <w:tc>
          <w:tcPr>
            <w:tcW w:type="dxa" w:w="7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RQ4</w:t>
            </w:r>
          </w:p>
        </w:tc>
        <w:tc>
          <w:tcPr>
            <w:tcW w:type="dxa" w:w="83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How reliably do symbolic, lexical, NLI-based and LLM-judge detectors identify contradictions relative to blinded human judgment, and does that reliability vary by constraint class?</w:t>
            </w:r>
          </w:p>
        </w:tc>
      </w:tr>
      <w:tr>
        <w:tc>
          <w:tcPr>
            <w:tcW w:type="dxa" w:w="7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RQ5</w:t>
            </w:r>
          </w:p>
        </w:tc>
        <w:tc>
          <w:tcPr>
            <w:tcW w:type="dxa" w:w="83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To what extent are factual accuracy, semantic consistency and abstention distinguishable dimensions of model reliability?</w:t>
            </w:r>
          </w:p>
        </w:tc>
      </w:tr>
    </w:tbl>
    <w:p>
      <w:pPr>
        <w:spacing w:after="160"/>
      </w:pPr>
    </w:p>
    <w:p>
      <w:pPr>
        <w:pStyle w:val="Heading2"/>
        <w:spacing w:after="110" w:before="260"/>
      </w:pPr>
      <w:r>
        <w:rPr>
          <w:rFonts w:ascii="Calibri" w:cs="Calibri" w:eastAsia="Calibri" w:hAnsi="Calibri"/>
          <w:b/>
          <w:bCs/>
          <w:color w:val="1F3864"/>
          <w:sz w:val="23"/>
          <w:szCs w:val="23"/>
        </w:rPr>
        <w:t xml:space="preserve">3.2 Hypotheses</w:t>
      </w:r>
    </w:p>
    <w:p>
      <w:pPr>
        <w:spacing w:after="130" w:line="280"/>
        <w:jc w:val="both"/>
      </w:pPr>
      <w:r>
        <w:rPr>
          <w:rFonts w:ascii="Cambria" w:cs="Cambria" w:eastAsia="Cambria" w:hAnsi="Cambria"/>
          <w:sz w:val="20"/>
          <w:szCs w:val="20"/>
        </w:rPr>
        <w:t xml:space="preserve">H1 is deliberately stated as a </w:t>
      </w:r>
      <w:r>
        <w:rPr>
          <w:rFonts w:ascii="Cambria" w:cs="Cambria" w:eastAsia="Cambria" w:hAnsi="Cambria"/>
          <w:b w:val="false"/>
          <w:bCs w:val="false"/>
          <w:i/>
          <w:iCs/>
          <w:sz w:val="20"/>
          <w:szCs w:val="20"/>
        </w:rPr>
        <w:t xml:space="preserve">difference</w:t>
      </w:r>
      <w:r>
        <w:rPr>
          <w:rFonts w:ascii="Cambria" w:cs="Cambria" w:eastAsia="Cambria" w:hAnsi="Cambria"/>
          <w:sz w:val="20"/>
          <w:szCs w:val="20"/>
        </w:rPr>
        <w:t xml:space="preserve"> rather than a monotonic increase. The four constraint classes are an experimental taxonomy, not a formally ordered complexity hierarchy (Section 4.2), and the study should not be designed so that only one ordering counts as a successful outcome. An observed profile of C1 ≈ C2 ≈ C3 &lt; C4, or C1 &lt; C2 &lt; C4 &lt; C3, is as scientifically informative as a clean ramp.</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700"/>
        <w:gridCol w:w="8326"/>
      </w:tblGrid>
      <w:tr>
        <w:trPr>
          <w:tblHeader/>
        </w:trPr>
        <w:tc>
          <w:tcPr>
            <w:tcW w:type="dxa" w:w="7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w:t>
            </w:r>
          </w:p>
        </w:tc>
        <w:tc>
          <w:tcPr>
            <w:tcW w:type="dxa" w:w="8326"/>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Hypothesis</w:t>
            </w:r>
          </w:p>
        </w:tc>
      </w:tr>
      <w:tr>
        <w:tc>
          <w:tcPr>
            <w:tcW w:type="dxa" w:w="7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H1</w:t>
            </w:r>
          </w:p>
        </w:tc>
        <w:tc>
          <w:tcPr>
            <w:tcW w:type="dxa" w:w="83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Structural class. Semantic self-inconsistency differs between lower-structure constraint classes (C1, C2) and higher-structure classes (C3, C4), with the latter expected to exhibit greater inconsistency.</w:t>
            </w:r>
          </w:p>
        </w:tc>
      </w:tr>
      <w:tr>
        <w:tc>
          <w:tcPr>
            <w:tcW w:type="dxa" w:w="7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H2</w:t>
            </w:r>
          </w:p>
        </w:tc>
        <w:tc>
          <w:tcPr>
            <w:tcW w:type="dxa" w:w="83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Probe budget. Increasing the number of meaning-preserving probes increases contradiction recovery, with diminishing marginal returns as the budget grows.</w:t>
            </w:r>
          </w:p>
        </w:tc>
      </w:tr>
      <w:tr>
        <w:tc>
          <w:tcPr>
            <w:tcW w:type="dxa" w:w="7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H3</w:t>
            </w:r>
          </w:p>
        </w:tc>
        <w:tc>
          <w:tcPr>
            <w:tcW w:type="dxa" w:w="83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Cross-family generalisation. The qualitative relationship between constraint class and inconsistency generalises across independently developed model families, although effect magnitude varies.</w:t>
            </w:r>
          </w:p>
        </w:tc>
      </w:tr>
      <w:tr>
        <w:tc>
          <w:tcPr>
            <w:tcW w:type="dxa" w:w="7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H4</w:t>
            </w:r>
          </w:p>
        </w:tc>
        <w:tc>
          <w:tcPr>
            <w:tcW w:type="dxa" w:w="83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Detector reliability. Semantic contradiction detectors outperform canonical lexical matching, but their precision and recall vary across constraint classes.</w:t>
            </w:r>
          </w:p>
        </w:tc>
      </w:tr>
      <w:tr>
        <w:tc>
          <w:tcPr>
            <w:tcW w:type="dxa" w:w="7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H5</w:t>
            </w:r>
          </w:p>
        </w:tc>
        <w:tc>
          <w:tcPr>
            <w:tcW w:type="dxa" w:w="83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Reliability dimensions. Factual accuracy, semantic consistency and abstention constitute distinguishable dimensions of model reliability rather than a single axis.</w:t>
            </w:r>
          </w:p>
        </w:tc>
      </w:tr>
    </w:tbl>
    <w:p>
      <w:pPr>
        <w:spacing w:after="120"/>
      </w:pPr>
    </w:p>
    <w:p>
      <w:pPr>
        <w:spacing w:after="130" w:line="280"/>
        <w:jc w:val="both"/>
      </w:pPr>
      <w:r>
        <w:rPr>
          <w:rFonts w:ascii="Cambria" w:cs="Cambria" w:eastAsia="Cambria" w:hAnsi="Cambria"/>
          <w:b/>
          <w:bCs/>
          <w:i w:val="false"/>
          <w:iCs w:val="false"/>
          <w:sz w:val="20"/>
          <w:szCs w:val="20"/>
        </w:rPr>
        <w:t xml:space="preserve">No scaling-law hypothesis, no parametric-memory hypothesis, and no architecture-causality hypothesis is proposed</w:t>
      </w:r>
      <w:r>
        <w:rPr>
          <w:rFonts w:ascii="Cambria" w:cs="Cambria" w:eastAsia="Cambria" w:hAnsi="Cambria"/>
          <w:sz w:val="20"/>
          <w:szCs w:val="20"/>
        </w:rPr>
        <w:t xml:space="preserve">, because the design cannot support any of the three.</w:t>
      </w:r>
    </w:p>
    <w:p>
      <w:r>
        <w:br w:type="page"/>
      </w:r>
    </w:p>
    <w:p>
      <w:pPr>
        <w:pStyle w:val="Heading1"/>
        <w:spacing w:after="160" w:before="360"/>
      </w:pPr>
      <w:r>
        <w:rPr>
          <w:rFonts w:ascii="Calibri" w:cs="Calibri" w:eastAsia="Calibri" w:hAnsi="Calibri"/>
          <w:b/>
          <w:bCs/>
          <w:color w:val="1F3864"/>
          <w:sz w:val="30"/>
          <w:szCs w:val="30"/>
        </w:rPr>
        <w:t xml:space="preserve">4. Methodology</w:t>
      </w:r>
    </w:p>
    <w:p>
      <w:pPr>
        <w:pStyle w:val="Heading2"/>
        <w:spacing w:after="110" w:before="260"/>
      </w:pPr>
      <w:r>
        <w:rPr>
          <w:rFonts w:ascii="Calibri" w:cs="Calibri" w:eastAsia="Calibri" w:hAnsi="Calibri"/>
          <w:b/>
          <w:bCs/>
          <w:color w:val="1F3864"/>
          <w:sz w:val="23"/>
          <w:szCs w:val="23"/>
        </w:rPr>
        <w:t xml:space="preserve">4.1 Overall workflow</w:t>
      </w:r>
    </w:p>
    <w:p>
      <w:pPr>
        <w:spacing w:after="0" w:line="250"/>
        <w:ind w:left="360"/>
      </w:pPr>
      <w:r>
        <w:rPr>
          <w:rFonts w:ascii="Consolas" w:cs="Consolas" w:eastAsia="Consolas" w:hAnsi="Consolas"/>
          <w:color w:val="333333"/>
          <w:sz w:val="17"/>
          <w:szCs w:val="17"/>
        </w:rPr>
        <w:t xml:space="preserve">Constraint authoring      →  formal predicate + KB ground truth</w:t>
      </w:r>
    </w:p>
    <w:p>
      <w:pPr>
        <w:spacing w:after="0" w:line="250"/>
        <w:ind w:left="360"/>
      </w:pPr>
      <w:r>
        <w:rPr>
          <w:rFonts w:ascii="Consolas" w:cs="Consolas" w:eastAsia="Consolas" w:hAnsi="Consolas"/>
          <w:color w:val="333333"/>
          <w:sz w:val="17"/>
          <w:szCs w:val="17"/>
        </w:rPr>
        <w:t xml:space="preserve">      ↓</w:t>
      </w:r>
    </w:p>
    <w:p>
      <w:pPr>
        <w:spacing w:after="0" w:line="250"/>
        <w:ind w:left="360"/>
      </w:pPr>
      <w:r>
        <w:rPr>
          <w:rFonts w:ascii="Consolas" w:cs="Consolas" w:eastAsia="Consolas" w:hAnsi="Consolas"/>
          <w:color w:val="333333"/>
          <w:sz w:val="17"/>
          <w:szCs w:val="17"/>
        </w:rPr>
        <w:t xml:space="preserve">Probe generation          →  human semantic validation</w:t>
      </w:r>
    </w:p>
    <w:p>
      <w:pPr>
        <w:spacing w:after="0" w:line="250"/>
        <w:ind w:left="360"/>
      </w:pPr>
      <w:r>
        <w:rPr>
          <w:rFonts w:ascii="Consolas" w:cs="Consolas" w:eastAsia="Consolas" w:hAnsi="Consolas"/>
          <w:color w:val="333333"/>
          <w:sz w:val="17"/>
          <w:szCs w:val="17"/>
        </w:rPr>
        <w:t xml:space="preserve">      ↓</w:t>
      </w:r>
    </w:p>
    <w:p>
      <w:pPr>
        <w:spacing w:after="0" w:line="250"/>
        <w:ind w:left="360"/>
      </w:pPr>
      <w:r>
        <w:rPr>
          <w:rFonts w:ascii="Consolas" w:cs="Consolas" w:eastAsia="Consolas" w:hAnsi="Consolas"/>
          <w:color w:val="333333"/>
          <w:sz w:val="17"/>
          <w:szCs w:val="17"/>
        </w:rPr>
        <w:t xml:space="preserve">FROZEN BENCHMARK             (no changes after this point)</w:t>
      </w:r>
    </w:p>
    <w:p>
      <w:pPr>
        <w:spacing w:after="0" w:line="250"/>
        <w:ind w:left="360"/>
      </w:pPr>
      <w:r>
        <w:rPr>
          <w:rFonts w:ascii="Consolas" w:cs="Consolas" w:eastAsia="Consolas" w:hAnsi="Consolas"/>
          <w:color w:val="333333"/>
          <w:sz w:val="17"/>
          <w:szCs w:val="17"/>
        </w:rPr>
        <w:t xml:space="preserve">      ↓</w:t>
      </w:r>
    </w:p>
    <w:p>
      <w:pPr>
        <w:spacing w:after="0" w:line="250"/>
        <w:ind w:left="360"/>
      </w:pPr>
      <w:r>
        <w:rPr>
          <w:rFonts w:ascii="Consolas" w:cs="Consolas" w:eastAsia="Consolas" w:hAnsi="Consolas"/>
          <w:color w:val="333333"/>
          <w:sz w:val="17"/>
          <w:szCs w:val="17"/>
        </w:rPr>
        <w:t xml:space="preserve">Multi-model inference     →  7 models, fixed decoding + stochastic run</w:t>
      </w:r>
    </w:p>
    <w:p>
      <w:pPr>
        <w:spacing w:after="0" w:line="250"/>
        <w:ind w:left="360"/>
      </w:pPr>
      <w:r>
        <w:rPr>
          <w:rFonts w:ascii="Consolas" w:cs="Consolas" w:eastAsia="Consolas" w:hAnsi="Consolas"/>
          <w:color w:val="333333"/>
          <w:sz w:val="17"/>
          <w:szCs w:val="17"/>
        </w:rPr>
        <w:t xml:space="preserve">      ↓</w:t>
      </w:r>
    </w:p>
    <w:p>
      <w:pPr>
        <w:spacing w:after="0" w:line="250"/>
        <w:ind w:left="360"/>
      </w:pPr>
      <w:r>
        <w:rPr>
          <w:rFonts w:ascii="Consolas" w:cs="Consolas" w:eastAsia="Consolas" w:hAnsi="Consolas"/>
          <w:color w:val="333333"/>
          <w:sz w:val="17"/>
          <w:szCs w:val="17"/>
        </w:rPr>
        <w:t xml:space="preserve">Stage 0 canonicalisation  →  {answer | ABSTAIN | INVALID | AMBIGUOUS}</w:t>
      </w:r>
    </w:p>
    <w:p>
      <w:pPr>
        <w:spacing w:after="0" w:line="250"/>
        <w:ind w:left="360"/>
      </w:pPr>
      <w:r>
        <w:rPr>
          <w:rFonts w:ascii="Consolas" w:cs="Consolas" w:eastAsia="Consolas" w:hAnsi="Consolas"/>
          <w:color w:val="333333"/>
          <w:sz w:val="17"/>
          <w:szCs w:val="17"/>
        </w:rPr>
        <w:t xml:space="preserve">      ↓</w:t>
      </w:r>
    </w:p>
    <w:p>
      <w:pPr>
        <w:spacing w:after="0" w:line="250"/>
        <w:ind w:left="360"/>
      </w:pPr>
      <w:r>
        <w:rPr>
          <w:rFonts w:ascii="Consolas" w:cs="Consolas" w:eastAsia="Consolas" w:hAnsi="Consolas"/>
          <w:color w:val="333333"/>
          <w:sz w:val="17"/>
          <w:szCs w:val="17"/>
        </w:rPr>
        <w:t xml:space="preserve">Contradiction detection   →  D0 · D1 · D2 · D3      (D4 in parallel)</w:t>
      </w:r>
    </w:p>
    <w:p>
      <w:pPr>
        <w:spacing w:after="0" w:line="250"/>
        <w:ind w:left="360"/>
      </w:pPr>
      <w:r>
        <w:rPr>
          <w:rFonts w:ascii="Consolas" w:cs="Consolas" w:eastAsia="Consolas" w:hAnsi="Consolas"/>
          <w:color w:val="333333"/>
          <w:sz w:val="17"/>
          <w:szCs w:val="17"/>
        </w:rPr>
        <w:t xml:space="preserve">      ↓</w:t>
      </w:r>
    </w:p>
    <w:p>
      <w:pPr>
        <w:spacing w:after="0" w:line="250"/>
        <w:ind w:left="360"/>
      </w:pPr>
      <w:r>
        <w:rPr>
          <w:rFonts w:ascii="Consolas" w:cs="Consolas" w:eastAsia="Consolas" w:hAnsi="Consolas"/>
          <w:color w:val="333333"/>
          <w:sz w:val="17"/>
          <w:szCs w:val="17"/>
        </w:rPr>
        <w:t xml:space="preserve">Blinded human annotation  →  2 samples: prevalence, detector eval</w:t>
      </w:r>
    </w:p>
    <w:p>
      <w:pPr>
        <w:spacing w:after="0" w:line="250"/>
        <w:ind w:left="360"/>
      </w:pPr>
      <w:r>
        <w:rPr>
          <w:rFonts w:ascii="Consolas" w:cs="Consolas" w:eastAsia="Consolas" w:hAnsi="Consolas"/>
          <w:color w:val="333333"/>
          <w:sz w:val="17"/>
          <w:szCs w:val="17"/>
        </w:rPr>
        <w:t xml:space="preserve">      ↓</w:t>
      </w:r>
    </w:p>
    <w:p>
      <w:pPr>
        <w:spacing w:after="150" w:line="250"/>
        <w:ind w:left="360"/>
      </w:pPr>
      <w:r>
        <w:rPr>
          <w:rFonts w:ascii="Consolas" w:cs="Consolas" w:eastAsia="Consolas" w:hAnsi="Consolas"/>
          <w:color w:val="333333"/>
          <w:sz w:val="17"/>
          <w:szCs w:val="17"/>
        </w:rPr>
        <w:t xml:space="preserve">Statistical analysis      →  profile · efficiency curve · reliability</w:t>
      </w:r>
    </w:p>
    <w:p>
      <w:pPr>
        <w:pStyle w:val="Heading2"/>
        <w:spacing w:after="110" w:before="260"/>
      </w:pPr>
      <w:r>
        <w:rPr>
          <w:rFonts w:ascii="Calibri" w:cs="Calibri" w:eastAsia="Calibri" w:hAnsi="Calibri"/>
          <w:b/>
          <w:bCs/>
          <w:color w:val="1F3864"/>
          <w:sz w:val="23"/>
          <w:szCs w:val="23"/>
        </w:rPr>
        <w:t xml:space="preserve">4.2 Constraint taxonomy</w:t>
      </w:r>
    </w:p>
    <w:p>
      <w:pPr>
        <w:spacing w:after="130" w:line="280"/>
        <w:jc w:val="both"/>
      </w:pPr>
      <w:r>
        <w:rPr>
          <w:rFonts w:ascii="Cambria" w:cs="Cambria" w:eastAsia="Cambria" w:hAnsi="Cambria"/>
          <w:b/>
          <w:bCs/>
          <w:i w:val="false"/>
          <w:iCs w:val="false"/>
          <w:sz w:val="20"/>
          <w:szCs w:val="20"/>
        </w:rPr>
        <w:t xml:space="preserve">The four classes are categorical experimental conditions, not points on a formally ordered complexity scale.</w:t>
      </w:r>
      <w:r>
        <w:rPr>
          <w:rFonts w:ascii="Cambria" w:cs="Cambria" w:eastAsia="Cambria" w:hAnsi="Cambria"/>
          <w:sz w:val="20"/>
          <w:szCs w:val="20"/>
        </w:rPr>
        <w:t xml:space="preserve"> Temporal reasoning is not provably “more complex” than universal quantification; it is a different structural requirement. The paper will state this explicitly and will report a </w:t>
      </w:r>
      <w:r>
        <w:rPr>
          <w:rFonts w:ascii="Cambria" w:cs="Cambria" w:eastAsia="Cambria" w:hAnsi="Cambria"/>
          <w:b w:val="false"/>
          <w:bCs w:val="false"/>
          <w:i/>
          <w:iCs/>
          <w:sz w:val="20"/>
          <w:szCs w:val="20"/>
        </w:rPr>
        <w:t xml:space="preserve">structural inconsistency profile</w:t>
      </w:r>
      <w:r>
        <w:rPr>
          <w:rFonts w:ascii="Cambria" w:cs="Cambria" w:eastAsia="Cambria" w:hAnsi="Cambria"/>
          <w:sz w:val="20"/>
          <w:szCs w:val="20"/>
        </w:rPr>
        <w:t xml:space="preserve"> rather than a “complexity curve.”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700"/>
        <w:gridCol w:w="2100"/>
        <w:gridCol w:w="2900"/>
        <w:gridCol w:w="3326"/>
      </w:tblGrid>
      <w:tr>
        <w:trPr>
          <w:tblHeader/>
        </w:trPr>
        <w:tc>
          <w:tcPr>
            <w:tcW w:type="dxa" w:w="7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Class</w:t>
            </w:r>
          </w:p>
        </w:tc>
        <w:tc>
          <w:tcPr>
            <w:tcW w:type="dxa" w:w="21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Name</w:t>
            </w:r>
          </w:p>
        </w:tc>
        <w:tc>
          <w:tcPr>
            <w:tcW w:type="dxa" w:w="29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Structural requirement</w:t>
            </w:r>
          </w:p>
        </w:tc>
        <w:tc>
          <w:tcPr>
            <w:tcW w:type="dxa" w:w="3326"/>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Illustrative constraint</w:t>
            </w:r>
          </w:p>
        </w:tc>
      </w:tr>
      <w:tr>
        <w:tc>
          <w:tcPr>
            <w:tcW w:type="dxa" w:w="7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C1</w:t>
            </w:r>
          </w:p>
        </w:tc>
        <w:tc>
          <w:tcPr>
            <w:tcW w:type="dxa" w:w="21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Atomic</w:t>
            </w:r>
          </w:p>
        </w:tc>
        <w:tc>
          <w:tcPr>
            <w:tcW w:type="dxa" w:w="29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A single proposition with direct mutual exclusion</w:t>
            </w:r>
          </w:p>
        </w:tc>
        <w:tc>
          <w:tcPr>
            <w:tcW w:type="dxa" w:w="33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Canberra is the capital of Australia.</w:t>
            </w:r>
          </w:p>
        </w:tc>
      </w:tr>
      <w:tr>
        <w:tc>
          <w:tcPr>
            <w:tcW w:type="dxa" w:w="7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C2</w:t>
            </w:r>
          </w:p>
        </w:tc>
        <w:tc>
          <w:tcPr>
            <w:tcW w:type="dxa" w:w="21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Conjunctive / relational</w:t>
            </w:r>
          </w:p>
        </w:tc>
        <w:tc>
          <w:tcPr>
            <w:tcW w:type="dxa" w:w="29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Two or more propositions that must hold jointly</w:t>
            </w:r>
          </w:p>
        </w:tc>
        <w:tc>
          <w:tcPr>
            <w:tcW w:type="dxa" w:w="33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A person cannot simultaneously hold offices A and B.</w:t>
            </w:r>
          </w:p>
        </w:tc>
      </w:tr>
      <w:tr>
        <w:tc>
          <w:tcPr>
            <w:tcW w:type="dxa" w:w="7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C3</w:t>
            </w:r>
          </w:p>
        </w:tc>
        <w:tc>
          <w:tcPr>
            <w:tcW w:type="dxa" w:w="21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Quantified / rule-based</w:t>
            </w:r>
          </w:p>
        </w:tc>
        <w:tc>
          <w:tcPr>
            <w:tcW w:type="dxa" w:w="29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Universal quantification with variable binding</w:t>
            </w:r>
          </w:p>
        </w:tc>
        <w:tc>
          <w:tcPr>
            <w:tcW w:type="dxa" w:w="33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∀x: holds(x,P) ∧ incompatible(P,Q) → ¬holds(x,Q)</w:t>
            </w:r>
          </w:p>
        </w:tc>
      </w:tr>
      <w:tr>
        <w:tc>
          <w:tcPr>
            <w:tcW w:type="dxa" w:w="7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C4</w:t>
            </w:r>
          </w:p>
        </w:tc>
        <w:tc>
          <w:tcPr>
            <w:tcW w:type="dxa" w:w="21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Temporal</w:t>
            </w:r>
          </w:p>
        </w:tc>
        <w:tc>
          <w:tcPr>
            <w:tcW w:type="dxa" w:w="29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Reasoning over validity intervals or ordering</w:t>
            </w:r>
          </w:p>
        </w:tc>
        <w:tc>
          <w:tcPr>
            <w:tcW w:type="dxa" w:w="33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A person cannot hold an office before that office was established.</w:t>
            </w:r>
          </w:p>
        </w:tc>
      </w:tr>
    </w:tbl>
    <w:p>
      <w:pPr>
        <w:spacing w:after="140"/>
      </w:pPr>
    </w:p>
    <w:p>
      <w:pPr>
        <w:spacing w:after="130" w:line="280"/>
        <w:jc w:val="both"/>
      </w:pPr>
      <w:r>
        <w:rPr>
          <w:rFonts w:ascii="Cambria" w:cs="Cambria" w:eastAsia="Cambria" w:hAnsi="Cambria"/>
          <w:b/>
          <w:bCs/>
          <w:i w:val="false"/>
          <w:iCs w:val="false"/>
          <w:sz w:val="20"/>
          <w:szCs w:val="20"/>
        </w:rPr>
        <w:t xml:space="preserve">Modal and counterfactual constraints are excluded</w:t>
      </w:r>
      <w:r>
        <w:rPr>
          <w:rFonts w:ascii="Cambria" w:cs="Cambria" w:eastAsia="Cambria" w:hAnsi="Cambria"/>
          <w:sz w:val="20"/>
          <w:szCs w:val="20"/>
        </w:rPr>
        <w:t xml:space="preserve"> from the main benchmark. They constitute a separate reasoning dimension, Wikidata contains no modal facts, and there is consequently no source of ground truth against which a violation could be scored. Folding them into C4 would make that class a grab-bag of unrelated hard reasoning. They are reserved for future work.</w:t>
      </w:r>
    </w:p>
    <w:p>
      <w:pPr>
        <w:pStyle w:val="Heading2"/>
        <w:spacing w:after="110" w:before="260"/>
      </w:pPr>
      <w:r>
        <w:rPr>
          <w:rFonts w:ascii="Calibri" w:cs="Calibri" w:eastAsia="Calibri" w:hAnsi="Calibri"/>
          <w:b/>
          <w:bCs/>
          <w:color w:val="1F3864"/>
          <w:sz w:val="23"/>
          <w:szCs w:val="23"/>
        </w:rPr>
        <w:t xml:space="preserve">4.3 Benchmark construction</w:t>
      </w:r>
    </w:p>
    <w:p>
      <w:pPr>
        <w:spacing w:after="130" w:line="280"/>
        <w:jc w:val="both"/>
      </w:pPr>
      <w:r>
        <w:rPr>
          <w:rFonts w:ascii="Cambria" w:cs="Cambria" w:eastAsia="Cambria" w:hAnsi="Cambria"/>
          <w:b/>
          <w:bCs/>
          <w:i w:val="false"/>
          <w:iCs w:val="false"/>
          <w:sz w:val="20"/>
          <w:szCs w:val="20"/>
        </w:rPr>
        <w:t xml:space="preserve">Size. </w:t>
      </w:r>
      <w:r>
        <w:rPr>
          <w:rFonts w:ascii="Cambria" w:cs="Cambria" w:eastAsia="Cambria" w:hAnsi="Cambria"/>
          <w:sz w:val="20"/>
          <w:szCs w:val="20"/>
        </w:rPr>
        <w:t xml:space="preserve">120 constraints: 30 per class, balanced across 5 domains (geography, history, biology, public office, science &amp; technology), giving 6 constraints per domain per class. Domain is a balancing and control variable; with 6 observations per domain per class the study makes no inferential claim about domain differences.</w:t>
      </w:r>
    </w:p>
    <w:p>
      <w:pPr>
        <w:spacing w:after="130" w:line="280"/>
        <w:jc w:val="both"/>
      </w:pPr>
      <w:r>
        <w:rPr>
          <w:rFonts w:ascii="Cambria" w:cs="Cambria" w:eastAsia="Cambria" w:hAnsi="Cambria"/>
          <w:b/>
          <w:bCs/>
          <w:i w:val="false"/>
          <w:iCs w:val="false"/>
          <w:sz w:val="20"/>
          <w:szCs w:val="20"/>
        </w:rPr>
        <w:t xml:space="preserve">Matched nuisance factors, not matched semantics. </w:t>
      </w:r>
      <w:r>
        <w:rPr>
          <w:rFonts w:ascii="Cambria" w:cs="Cambria" w:eastAsia="Cambria" w:hAnsi="Cambria"/>
          <w:sz w:val="20"/>
          <w:szCs w:val="20"/>
        </w:rPr>
        <w:t xml:space="preserve">Constraints are authored in families that hold nuisance variation approximately constant across classes — same domain, comparable entity familiarity, comparable answer type, comparable lexical complexity — while the structural requirement changes. The four class variants within a family are deliberately not semantically equivalent; the goal is to reduce nuisance variation, not to produce logically identical statements.</w:t>
      </w:r>
    </w:p>
    <w:p>
      <w:pPr>
        <w:spacing w:after="130" w:line="280"/>
        <w:jc w:val="both"/>
      </w:pPr>
      <w:r>
        <w:rPr>
          <w:rFonts w:ascii="Cambria" w:cs="Cambria" w:eastAsia="Cambria" w:hAnsi="Cambria"/>
          <w:b/>
          <w:bCs/>
          <w:i w:val="false"/>
          <w:iCs w:val="false"/>
          <w:sz w:val="20"/>
          <w:szCs w:val="20"/>
        </w:rPr>
        <w:t xml:space="preserve">Schema-based instantiation. </w:t>
      </w:r>
      <w:r>
        <w:rPr>
          <w:rFonts w:ascii="Cambria" w:cs="Cambria" w:eastAsia="Cambria" w:hAnsi="Cambria"/>
          <w:sz w:val="20"/>
          <w:szCs w:val="20"/>
        </w:rPr>
        <w:t xml:space="preserve">Six to eight constraint schemas are hand-authored per class and each is instantiated with four to five distinct entity sets. The logic is authored by hand throughout; only the entities vary. Because instances of a schema are correlated by construction, schema enters the statistical model as a nested random effect (Section 4.11) and instance counts are balanced so that no schema dominates a class.</w:t>
      </w:r>
    </w:p>
    <w:p>
      <w:pPr>
        <w:spacing w:after="130" w:line="280"/>
        <w:jc w:val="both"/>
      </w:pPr>
      <w:r>
        <w:rPr>
          <w:rFonts w:ascii="Cambria" w:cs="Cambria" w:eastAsia="Cambria" w:hAnsi="Cambria"/>
          <w:b/>
          <w:bCs/>
          <w:i w:val="false"/>
          <w:iCs w:val="false"/>
          <w:sz w:val="20"/>
          <w:szCs w:val="20"/>
        </w:rPr>
        <w:t xml:space="preserve">Ground truth. </w:t>
      </w:r>
      <w:r>
        <w:rPr>
          <w:rFonts w:ascii="Cambria" w:cs="Cambria" w:eastAsia="Cambria" w:hAnsi="Cambria"/>
          <w:sz w:val="20"/>
          <w:szCs w:val="20"/>
        </w:rPr>
        <w:t xml:space="preserve">Wikidata is the primary source but is not treated as absolute truth. Temporal constraints require date qualifiers (P580 start time, P582 end time), and all historical and temporal facts are corroborated against a second authoritative source. Every constraint stores its source, source URL and retrieval date.</w:t>
      </w:r>
    </w:p>
    <w:p>
      <w:pPr>
        <w:spacing w:after="130" w:line="280"/>
        <w:jc w:val="both"/>
      </w:pPr>
      <w:r>
        <w:rPr>
          <w:rFonts w:ascii="Cambria" w:cs="Cambria" w:eastAsia="Cambria" w:hAnsi="Cambria"/>
          <w:b/>
          <w:bCs/>
          <w:i w:val="false"/>
          <w:iCs w:val="false"/>
          <w:sz w:val="20"/>
          <w:szCs w:val="20"/>
        </w:rPr>
        <w:t xml:space="preserve">Entity familiarity control. </w:t>
      </w:r>
      <w:r>
        <w:rPr>
          <w:rFonts w:ascii="Cambria" w:cs="Cambria" w:eastAsia="Cambria" w:hAnsi="Cambria"/>
          <w:sz w:val="20"/>
          <w:szCs w:val="20"/>
        </w:rPr>
        <w:t xml:space="preserve">The most damaging alternative explanation for any observed class effect is that higher-structure constraints simply involve less well-known entities. Wikidata sitelink counts are recorded for every entity and the distribution is matched across classes at authoring time. Sitelinks are preferred to Wikipedia pageviews because they are deterministic, available directly from the knowledge base, and not time-sensitive. Sitelink count additionally enters the statistical model as a sensitivity covariate.</w:t>
      </w:r>
    </w:p>
    <w:p>
      <w:pPr>
        <w:spacing w:after="60" w:line="280"/>
        <w:jc w:val="both"/>
      </w:pPr>
      <w:r>
        <w:rPr>
          <w:rFonts w:ascii="Cambria" w:cs="Cambria" w:eastAsia="Cambria" w:hAnsi="Cambria"/>
          <w:b/>
          <w:bCs/>
          <w:i w:val="false"/>
          <w:iCs w:val="false"/>
          <w:sz w:val="20"/>
          <w:szCs w:val="20"/>
        </w:rPr>
        <w:t xml:space="preserve">Per-constraint record.</w:t>
      </w:r>
    </w:p>
    <w:p>
      <w:pPr>
        <w:spacing w:after="0" w:line="250"/>
        <w:ind w:left="360"/>
      </w:pPr>
      <w:r>
        <w:rPr>
          <w:rFonts w:ascii="Consolas" w:cs="Consolas" w:eastAsia="Consolas" w:hAnsi="Consolas"/>
          <w:color w:val="333333"/>
          <w:sz w:val="17"/>
          <w:szCs w:val="17"/>
        </w:rPr>
        <w:t xml:space="preserve">constraint_id, family_id, schema_id, domain, class,</w:t>
      </w:r>
    </w:p>
    <w:p>
      <w:pPr>
        <w:spacing w:after="0" w:line="250"/>
        <w:ind w:left="360"/>
      </w:pPr>
      <w:r>
        <w:rPr>
          <w:rFonts w:ascii="Consolas" w:cs="Consolas" w:eastAsia="Consolas" w:hAnsi="Consolas"/>
          <w:color w:val="333333"/>
          <w:sz w:val="17"/>
          <w:szCs w:val="17"/>
        </w:rPr>
        <w:t xml:space="preserve">formal_predicate, constraint_text,</w:t>
      </w:r>
    </w:p>
    <w:p>
      <w:pPr>
        <w:spacing w:after="0" w:line="250"/>
        <w:ind w:left="360"/>
      </w:pPr>
      <w:r>
        <w:rPr>
          <w:rFonts w:ascii="Consolas" w:cs="Consolas" w:eastAsia="Consolas" w:hAnsi="Consolas"/>
          <w:color w:val="333333"/>
          <w:sz w:val="17"/>
          <w:szCs w:val="17"/>
        </w:rPr>
        <w:t xml:space="preserve">entities[], entity_qids[], entity_sitelinks[],</w:t>
      </w:r>
    </w:p>
    <w:p>
      <w:pPr>
        <w:spacing w:after="0" w:line="250"/>
        <w:ind w:left="360"/>
      </w:pPr>
      <w:r>
        <w:rPr>
          <w:rFonts w:ascii="Consolas" w:cs="Consolas" w:eastAsia="Consolas" w:hAnsi="Consolas"/>
          <w:color w:val="333333"/>
          <w:sz w:val="17"/>
          <w:szCs w:val="17"/>
        </w:rPr>
        <w:t xml:space="preserve">gold_proposition, gold_source, gold_source_url, gold_source_date,</w:t>
      </w:r>
    </w:p>
    <w:p>
      <w:pPr>
        <w:spacing w:after="150" w:line="250"/>
        <w:ind w:left="360"/>
      </w:pPr>
      <w:r>
        <w:rPr>
          <w:rFonts w:ascii="Consolas" w:cs="Consolas" w:eastAsia="Consolas" w:hAnsi="Consolas"/>
          <w:color w:val="333333"/>
          <w:sz w:val="17"/>
          <w:szCs w:val="17"/>
        </w:rPr>
        <w:t xml:space="preserve">temporal_validity, ambiguity_notes, prerequisite_atomic_facts[]</w:t>
      </w:r>
    </w:p>
    <w:p>
      <w:pPr>
        <w:pStyle w:val="Heading2"/>
        <w:spacing w:after="110" w:before="260"/>
      </w:pPr>
      <w:r>
        <w:rPr>
          <w:rFonts w:ascii="Calibri" w:cs="Calibri" w:eastAsia="Calibri" w:hAnsi="Calibri"/>
          <w:b/>
          <w:bCs/>
          <w:color w:val="1F3864"/>
          <w:sz w:val="23"/>
          <w:szCs w:val="23"/>
        </w:rPr>
        <w:t xml:space="preserve">4.4 Probe design and validation</w:t>
      </w:r>
    </w:p>
    <w:p>
      <w:pPr>
        <w:pStyle w:val="Heading3"/>
        <w:spacing w:after="90" w:before="200"/>
      </w:pPr>
      <w:r>
        <w:rPr>
          <w:rFonts w:ascii="Calibri" w:cs="Calibri" w:eastAsia="Calibri" w:hAnsi="Calibri"/>
          <w:b/>
          <w:bCs/>
          <w:color w:val="2E4A7D"/>
          <w:sz w:val="20"/>
          <w:szCs w:val="20"/>
        </w:rPr>
        <w:t xml:space="preserve">4.4.1 Formal probe representation</w:t>
      </w:r>
    </w:p>
    <w:p>
      <w:pPr>
        <w:spacing w:after="130" w:line="280"/>
        <w:jc w:val="both"/>
      </w:pPr>
      <w:r>
        <w:rPr>
          <w:rFonts w:ascii="Cambria" w:cs="Cambria" w:eastAsia="Cambria" w:hAnsi="Cambria"/>
          <w:sz w:val="20"/>
          <w:szCs w:val="20"/>
        </w:rPr>
        <w:t xml:space="preserve">Semantic equivalence is defined operationally rather than asserted. Every probe is mapped to a formal representation, and two probes are equivalent if and only if their representations are identical:</w:t>
      </w:r>
    </w:p>
    <w:p>
      <w:pPr>
        <w:spacing w:after="0" w:line="250"/>
        <w:ind w:left="360"/>
      </w:pPr>
      <w:r>
        <w:rPr>
          <w:rFonts w:ascii="Consolas" w:cs="Consolas" w:eastAsia="Consolas" w:hAnsi="Consolas"/>
          <w:color w:val="333333"/>
          <w:sz w:val="17"/>
          <w:szCs w:val="17"/>
        </w:rPr>
        <w:t xml:space="preserve">constraint_id, probe_id, logical_form,</w:t>
      </w:r>
    </w:p>
    <w:p>
      <w:pPr>
        <w:spacing w:after="0" w:line="250"/>
        <w:ind w:left="360"/>
      </w:pPr>
      <w:r>
        <w:rPr>
          <w:rFonts w:ascii="Consolas" w:cs="Consolas" w:eastAsia="Consolas" w:hAnsi="Consolas"/>
          <w:color w:val="333333"/>
          <w:sz w:val="17"/>
          <w:szCs w:val="17"/>
        </w:rPr>
        <w:t xml:space="preserve">subject, predicate, object,</w:t>
      </w:r>
    </w:p>
    <w:p>
      <w:pPr>
        <w:spacing w:after="150" w:line="250"/>
        <w:ind w:left="360"/>
      </w:pPr>
      <w:r>
        <w:rPr>
          <w:rFonts w:ascii="Consolas" w:cs="Consolas" w:eastAsia="Consolas" w:hAnsi="Consolas"/>
          <w:color w:val="333333"/>
          <w:sz w:val="17"/>
          <w:szCs w:val="17"/>
        </w:rPr>
        <w:t xml:space="preserve">time_scope, quantifier, polarity, answer_type</w:t>
      </w:r>
    </w:p>
    <w:p>
      <w:pPr>
        <w:pStyle w:val="Heading3"/>
        <w:spacing w:after="90" w:before="200"/>
      </w:pPr>
      <w:r>
        <w:rPr>
          <w:rFonts w:ascii="Calibri" w:cs="Calibri" w:eastAsia="Calibri" w:hAnsi="Calibri"/>
          <w:b/>
          <w:bCs/>
          <w:color w:val="2E4A7D"/>
          <w:sz w:val="20"/>
          <w:szCs w:val="20"/>
        </w:rPr>
        <w:t xml:space="preserve">4.4.2 Primary tier</w:t>
      </w:r>
    </w:p>
    <w:p>
      <w:pPr>
        <w:spacing w:after="130" w:line="280"/>
        <w:jc w:val="both"/>
      </w:pPr>
      <w:r>
        <w:rPr>
          <w:rFonts w:ascii="Cambria" w:cs="Cambria" w:eastAsia="Cambria" w:hAnsi="Cambria"/>
          <w:b/>
          <w:bCs/>
          <w:i w:val="false"/>
          <w:iCs w:val="false"/>
          <w:sz w:val="20"/>
          <w:szCs w:val="20"/>
        </w:rPr>
        <w:t xml:space="preserve">K = 8 probes per constraint, 960 probes in total, C(8,2) = 28 pairs per constraint.</w:t>
      </w:r>
      <w:r>
        <w:rPr>
          <w:rFonts w:ascii="Cambria" w:cs="Cambria" w:eastAsia="Cambria" w:hAnsi="Cambria"/>
          <w:sz w:val="20"/>
          <w:szCs w:val="20"/>
        </w:rPr>
        <w:t xml:space="preserve"> Power for the class comparison derives from the number of constraints, which is the independent unit; additional paraphrases sharpen the within-constraint estimate but add no independent observations. K = 8 therefore represents the point at which further paraphrases cost authoring effort without buying inferential power, given that the depth question is handled separately by the saturation tier.</w:t>
      </w:r>
    </w:p>
    <w:p>
      <w:pPr>
        <w:spacing w:after="130" w:line="280"/>
        <w:jc w:val="both"/>
      </w:pPr>
      <w:r>
        <w:rPr>
          <w:rFonts w:ascii="Cambria" w:cs="Cambria" w:eastAsia="Cambria" w:hAnsi="Cambria"/>
          <w:b/>
          <w:bCs/>
          <w:i w:val="false"/>
          <w:iCs w:val="false"/>
          <w:sz w:val="20"/>
          <w:szCs w:val="20"/>
        </w:rPr>
        <w:t xml:space="preserve">Probe transformation factors are balanced exactly across classes</w:t>
      </w:r>
      <w:r>
        <w:rPr>
          <w:rFonts w:ascii="Cambria" w:cs="Cambria" w:eastAsia="Cambria" w:hAnsi="Cambria"/>
          <w:sz w:val="20"/>
          <w:szCs w:val="20"/>
        </w:rPr>
        <w:t xml:space="preserve"> and recorded on every probe, so that a class effect cannot be an artefact of, for example, more negated phrasings appearing at C4:</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3800"/>
        <w:gridCol w:w="3026"/>
      </w:tblGrid>
      <w:tr>
        <w:trPr>
          <w:tblHeader/>
        </w:trPr>
        <w:tc>
          <w:tcPr>
            <w:tcW w:type="dxa" w:w="22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Factor</w:t>
            </w:r>
          </w:p>
        </w:tc>
        <w:tc>
          <w:tcPr>
            <w:tcW w:type="dxa" w:w="38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Conditions</w:t>
            </w:r>
          </w:p>
        </w:tc>
        <w:tc>
          <w:tcPr>
            <w:tcW w:type="dxa" w:w="3026"/>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Primary tier</w:t>
            </w:r>
          </w:p>
        </w:tc>
      </w:tr>
      <w:tr>
        <w:tc>
          <w:tcPr>
            <w:tcW w:type="dxa" w:w="22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Syntax</w:t>
            </w:r>
          </w:p>
        </w:tc>
        <w:tc>
          <w:tcPr>
            <w:tcW w:type="dxa" w:w="38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declarative / interrogative / cloze</w:t>
            </w:r>
          </w:p>
        </w:tc>
        <w:tc>
          <w:tcPr>
            <w:tcW w:type="dxa" w:w="30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Balanced across classes</w:t>
            </w:r>
          </w:p>
        </w:tc>
      </w:tr>
      <w:tr>
        <w:tc>
          <w:tcPr>
            <w:tcW w:type="dxa" w:w="22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Polarity</w:t>
            </w:r>
          </w:p>
        </w:tc>
        <w:tc>
          <w:tcPr>
            <w:tcW w:type="dxa" w:w="38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affirmative / negated</w:t>
            </w:r>
          </w:p>
        </w:tc>
        <w:tc>
          <w:tcPr>
            <w:tcW w:type="dxa" w:w="30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Balanced across classes</w:t>
            </w:r>
          </w:p>
        </w:tc>
      </w:tr>
      <w:tr>
        <w:tc>
          <w:tcPr>
            <w:tcW w:type="dxa" w:w="22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Register</w:t>
            </w:r>
          </w:p>
        </w:tc>
        <w:tc>
          <w:tcPr>
            <w:tcW w:type="dxa" w:w="38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formal / colloquial</w:t>
            </w:r>
          </w:p>
        </w:tc>
        <w:tc>
          <w:tcPr>
            <w:tcW w:type="dxa" w:w="30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Balanced across classes</w:t>
            </w:r>
          </w:p>
        </w:tc>
      </w:tr>
      <w:tr>
        <w:tc>
          <w:tcPr>
            <w:tcW w:type="dxa" w:w="22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Directionality</w:t>
            </w:r>
          </w:p>
        </w:tc>
        <w:tc>
          <w:tcPr>
            <w:tcW w:type="dxa" w:w="38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direct / reverse</w:t>
            </w:r>
          </w:p>
        </w:tc>
        <w:tc>
          <w:tcPr>
            <w:tcW w:type="dxa" w:w="30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Balanced across classes</w:t>
            </w:r>
          </w:p>
        </w:tc>
      </w:tr>
      <w:tr>
        <w:tc>
          <w:tcPr>
            <w:tcW w:type="dxa" w:w="22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Distractor context</w:t>
            </w:r>
          </w:p>
        </w:tc>
        <w:tc>
          <w:tcPr>
            <w:tcW w:type="dxa" w:w="38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absent / present</w:t>
            </w:r>
          </w:p>
        </w:tc>
        <w:tc>
          <w:tcPr>
            <w:tcW w:type="dxa" w:w="30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Excluded — secondary experiment</w:t>
            </w:r>
          </w:p>
        </w:tc>
      </w:tr>
    </w:tbl>
    <w:p>
      <w:pPr>
        <w:spacing w:after="140"/>
      </w:pPr>
    </w:p>
    <w:p>
      <w:pPr>
        <w:spacing w:after="130" w:line="280"/>
        <w:jc w:val="both"/>
      </w:pPr>
      <w:r>
        <w:rPr>
          <w:rFonts w:ascii="Cambria" w:cs="Cambria" w:eastAsia="Cambria" w:hAnsi="Cambria"/>
          <w:sz w:val="20"/>
          <w:szCs w:val="20"/>
        </w:rPr>
        <w:t xml:space="preserve">Distractor context is a distinct research question (robustness to irrelevant context) and is run as a separate secondary experiment rather than contaminating the primary set.</w:t>
      </w:r>
    </w:p>
    <w:p>
      <w:pPr>
        <w:pStyle w:val="Heading3"/>
        <w:spacing w:after="90" w:before="200"/>
      </w:pPr>
      <w:r>
        <w:rPr>
          <w:rFonts w:ascii="Calibri" w:cs="Calibri" w:eastAsia="Calibri" w:hAnsi="Calibri"/>
          <w:b/>
          <w:bCs/>
          <w:color w:val="2E4A7D"/>
          <w:sz w:val="20"/>
          <w:szCs w:val="20"/>
        </w:rPr>
        <w:t xml:space="preserve">4.4.3 Response tracks</w:t>
      </w:r>
    </w:p>
    <w:p>
      <w:pPr>
        <w:spacing w:after="130" w:line="280"/>
        <w:jc w:val="both"/>
      </w:pPr>
      <w:r>
        <w:rPr>
          <w:rFonts w:ascii="Cambria" w:cs="Cambria" w:eastAsia="Cambria" w:hAnsi="Cambria"/>
          <w:b/>
          <w:bCs/>
          <w:i w:val="false"/>
          <w:iCs w:val="false"/>
          <w:sz w:val="20"/>
          <w:szCs w:val="20"/>
        </w:rPr>
        <w:t xml:space="preserve">Track A (primary, full benchmark).</w:t>
      </w:r>
      <w:r>
        <w:rPr>
          <w:rFonts w:ascii="Cambria" w:cs="Cambria" w:eastAsia="Cambria" w:hAnsi="Cambria"/>
          <w:sz w:val="20"/>
          <w:szCs w:val="20"/>
        </w:rPr>
        <w:t xml:space="preserve"> Constrained output format: the model returns only the requested entity, boolean, or date, or the token UNKNOWN, with no explanation. This removes hedging, elaboration and extraction error, and is what makes reliable canonicalisation possible.</w:t>
      </w:r>
    </w:p>
    <w:p>
      <w:pPr>
        <w:spacing w:after="130" w:line="280"/>
        <w:jc w:val="both"/>
      </w:pPr>
      <w:r>
        <w:rPr>
          <w:rFonts w:ascii="Cambria" w:cs="Cambria" w:eastAsia="Cambria" w:hAnsi="Cambria"/>
          <w:b/>
          <w:bCs/>
          <w:i w:val="false"/>
          <w:iCs w:val="false"/>
          <w:sz w:val="20"/>
          <w:szCs w:val="20"/>
        </w:rPr>
        <w:t xml:space="preserve">Track B (secondary, 20-constraint subset).</w:t>
      </w:r>
      <w:r>
        <w:rPr>
          <w:rFonts w:ascii="Cambria" w:cs="Cambria" w:eastAsia="Cambria" w:hAnsi="Cambria"/>
          <w:sz w:val="20"/>
          <w:szCs w:val="20"/>
        </w:rPr>
        <w:t xml:space="preserve"> Free-form natural responses. Track B exists to answer the reasonable objection that a constrained output format could artificially suppress the very inconsistency being measured, and establishes ecological validity for the Track A result.</w:t>
      </w:r>
    </w:p>
    <w:p>
      <w:pPr>
        <w:pStyle w:val="Heading3"/>
        <w:spacing w:after="90" w:before="200"/>
      </w:pPr>
      <w:r>
        <w:rPr>
          <w:rFonts w:ascii="Calibri" w:cs="Calibri" w:eastAsia="Calibri" w:hAnsi="Calibri"/>
          <w:b/>
          <w:bCs/>
          <w:color w:val="2E4A7D"/>
          <w:sz w:val="20"/>
          <w:szCs w:val="20"/>
        </w:rPr>
        <w:t xml:space="preserve">4.4.4 Saturation tier</w:t>
      </w:r>
    </w:p>
    <w:p>
      <w:pPr>
        <w:spacing w:after="130" w:line="280"/>
        <w:jc w:val="both"/>
      </w:pPr>
      <w:r>
        <w:rPr>
          <w:rFonts w:ascii="Cambria" w:cs="Cambria" w:eastAsia="Cambria" w:hAnsi="Cambria"/>
          <w:b/>
          <w:bCs/>
          <w:i w:val="false"/>
          <w:iCs w:val="false"/>
          <w:sz w:val="20"/>
          <w:szCs w:val="20"/>
        </w:rPr>
        <w:t xml:space="preserve">K = 50 on 24 constraints, 6 per class</w:t>
      </w:r>
      <w:r>
        <w:rPr>
          <w:rFonts w:ascii="Cambria" w:cs="Cambria" w:eastAsia="Cambria" w:hAnsi="Cambria"/>
          <w:sz w:val="20"/>
          <w:szCs w:val="20"/>
        </w:rPr>
        <w:t xml:space="preserve">, evaluated at k ∈ {2, 4, 8, 16, 32, 50}. Six per class is the minimum that supports a descriptive per-class saturation read, which is required because the parent framework's H1 makes a per-class claim. The 24 constraints are selected by a preregistered stratification rule over class, domain, schema and entity familiarity, and the selection is fixed before any model output is inspected.</w:t>
      </w:r>
    </w:p>
    <w:p>
      <w:pPr>
        <w:spacing w:after="130" w:line="280"/>
        <w:jc w:val="both"/>
      </w:pPr>
      <w:r>
        <w:rPr>
          <w:rFonts w:ascii="Cambria" w:cs="Cambria" w:eastAsia="Cambria" w:hAnsi="Cambria"/>
          <w:b/>
          <w:bCs/>
          <w:i w:val="false"/>
          <w:iCs w:val="false"/>
          <w:sz w:val="20"/>
          <w:szCs w:val="20"/>
        </w:rPr>
        <w:t xml:space="preserve">Validation protocol and its known bias. </w:t>
      </w:r>
      <w:r>
        <w:rPr>
          <w:rFonts w:ascii="Cambria" w:cs="Cambria" w:eastAsia="Cambria" w:hAnsi="Cambria"/>
          <w:sz w:val="20"/>
          <w:szCs w:val="20"/>
        </w:rPr>
        <w:t xml:space="preserve">The 1,008 additional probes receive a single blinded human semantic screen plus automated equivalence filtering, rather than the two-annotator validation applied to the primary tier. This is a deliberate cost trade-off with a consequence that must be reported: a flawed probe produces a spurious contradiction, spurious contradictions are recovered disproportionately at low k, and the saturation point is therefore biased </w:t>
      </w:r>
      <w:r>
        <w:rPr>
          <w:rFonts w:ascii="Cambria" w:cs="Cambria" w:eastAsia="Cambria" w:hAnsi="Cambria"/>
          <w:b w:val="false"/>
          <w:bCs w:val="false"/>
          <w:i/>
          <w:iCs/>
          <w:sz w:val="20"/>
          <w:szCs w:val="20"/>
        </w:rPr>
        <w:t xml:space="preserve">early</w:t>
      </w:r>
      <w:r>
        <w:rPr>
          <w:rFonts w:ascii="Cambria" w:cs="Cambria" w:eastAsia="Cambria" w:hAnsi="Cambria"/>
          <w:sz w:val="20"/>
          <w:szCs w:val="20"/>
        </w:rPr>
        <w:t xml:space="preserve">. The paper will report the discard rate of extension probes against primary probes and will frame the observed saturation budget as a </w:t>
      </w:r>
      <w:r>
        <w:rPr>
          <w:rFonts w:ascii="Cambria" w:cs="Cambria" w:eastAsia="Cambria" w:hAnsi="Cambria"/>
          <w:b/>
          <w:bCs/>
          <w:i w:val="false"/>
          <w:iCs w:val="false"/>
          <w:sz w:val="20"/>
          <w:szCs w:val="20"/>
        </w:rPr>
        <w:t xml:space="preserve">lower bound</w:t>
      </w:r>
      <w:r>
        <w:rPr>
          <w:rFonts w:ascii="Cambria" w:cs="Cambria" w:eastAsia="Cambria" w:hAnsi="Cambria"/>
          <w:sz w:val="20"/>
          <w:szCs w:val="20"/>
        </w:rPr>
        <w:t xml:space="preserve"> on the true required budget. K = 50 is described as a reference budget, never as a proven asymptote.</w:t>
      </w:r>
    </w:p>
    <w:p>
      <w:pPr>
        <w:pStyle w:val="Heading3"/>
        <w:spacing w:after="90" w:before="200"/>
      </w:pPr>
      <w:r>
        <w:rPr>
          <w:rFonts w:ascii="Calibri" w:cs="Calibri" w:eastAsia="Calibri" w:hAnsi="Calibri"/>
          <w:b/>
          <w:bCs/>
          <w:color w:val="2E4A7D"/>
          <w:sz w:val="20"/>
          <w:szCs w:val="20"/>
        </w:rPr>
        <w:t xml:space="preserve">4.4.5 Paraphrase validation</w:t>
      </w:r>
    </w:p>
    <w:p>
      <w:pPr>
        <w:spacing w:after="130" w:line="280"/>
        <w:jc w:val="both"/>
      </w:pPr>
      <w:r>
        <w:rPr>
          <w:rFonts w:ascii="Cambria" w:cs="Cambria" w:eastAsia="Cambria" w:hAnsi="Cambria"/>
          <w:sz w:val="20"/>
          <w:szCs w:val="20"/>
        </w:rPr>
        <w:t xml:space="preserve">Validating paraphrases with an NLI model and then measuring contradiction with an NLI model is close to circular, and MNLI-trained models are out-of-distribution on interrogative and cloze forms in any case. Human validation is therefore the certification step:</w:t>
      </w:r>
    </w:p>
    <w:p>
      <w:pPr>
        <w:pStyle w:val="ListParagraph"/>
        <w:numPr>
          <w:ilvl w:val="0"/>
          <w:numId w:val="3"/>
        </w:numPr>
        <w:spacing w:after="70" w:line="280"/>
      </w:pPr>
      <w:r>
        <w:rPr>
          <w:rFonts w:ascii="Cambria" w:cs="Cambria" w:eastAsia="Cambria" w:hAnsi="Cambria"/>
          <w:sz w:val="20"/>
          <w:szCs w:val="20"/>
        </w:rPr>
        <w:t xml:space="preserve">Generate candidate probes from the formal representation.</w:t>
      </w:r>
    </w:p>
    <w:p>
      <w:pPr>
        <w:pStyle w:val="ListParagraph"/>
        <w:numPr>
          <w:ilvl w:val="0"/>
          <w:numId w:val="3"/>
        </w:numPr>
        <w:spacing w:after="70" w:line="280"/>
      </w:pPr>
      <w:r>
        <w:rPr>
          <w:rFonts w:ascii="Cambria" w:cs="Cambria" w:eastAsia="Cambria" w:hAnsi="Cambria"/>
          <w:sz w:val="20"/>
          <w:szCs w:val="20"/>
        </w:rPr>
        <w:t xml:space="preserve">Automated filter: format, entity presence, answer-type match.</w:t>
      </w:r>
    </w:p>
    <w:p>
      <w:pPr>
        <w:pStyle w:val="ListParagraph"/>
        <w:numPr>
          <w:ilvl w:val="0"/>
          <w:numId w:val="3"/>
        </w:numPr>
        <w:spacing w:after="70" w:line="280"/>
      </w:pPr>
      <w:r>
        <w:rPr>
          <w:rFonts w:ascii="Cambria" w:cs="Cambria" w:eastAsia="Cambria" w:hAnsi="Cambria"/>
          <w:sz w:val="20"/>
          <w:szCs w:val="20"/>
        </w:rPr>
        <w:t xml:space="preserve">Human validation of semantic equivalence in a batch interface (two annotators, primary tier; single blinded screen, saturation tier).</w:t>
      </w:r>
    </w:p>
    <w:p>
      <w:pPr>
        <w:pStyle w:val="ListParagraph"/>
        <w:numPr>
          <w:ilvl w:val="0"/>
          <w:numId w:val="3"/>
        </w:numPr>
        <w:spacing w:after="70" w:line="280"/>
      </w:pPr>
      <w:r>
        <w:rPr>
          <w:rFonts w:ascii="Cambria" w:cs="Cambria" w:eastAsia="Cambria" w:hAnsi="Cambria"/>
          <w:sz w:val="20"/>
          <w:szCs w:val="20"/>
        </w:rPr>
        <w:t xml:space="preserve">Rewrite or discard failures; record the discard rate.</w:t>
      </w:r>
    </w:p>
    <w:p>
      <w:pPr>
        <w:pStyle w:val="ListParagraph"/>
        <w:numPr>
          <w:ilvl w:val="0"/>
          <w:numId w:val="3"/>
        </w:numPr>
        <w:spacing w:after="70" w:line="280"/>
      </w:pPr>
      <w:r>
        <w:rPr>
          <w:rFonts w:ascii="Cambria" w:cs="Cambria" w:eastAsia="Cambria" w:hAnsi="Cambria"/>
          <w:sz w:val="20"/>
          <w:szCs w:val="20"/>
        </w:rPr>
        <w:t xml:space="preserve">Freeze the benchmark. NLI bidirectional-entailment agreement is reported as supporting evidence only.</w:t>
      </w:r>
    </w:p>
    <w:p>
      <w:pPr>
        <w:pStyle w:val="Heading2"/>
        <w:spacing w:after="110" w:before="260"/>
      </w:pPr>
      <w:r>
        <w:rPr>
          <w:rFonts w:ascii="Calibri" w:cs="Calibri" w:eastAsia="Calibri" w:hAnsi="Calibri"/>
          <w:b/>
          <w:bCs/>
          <w:color w:val="1F3864"/>
          <w:sz w:val="23"/>
          <w:szCs w:val="23"/>
        </w:rPr>
        <w:t xml:space="preserve">4.5 Model selection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900"/>
        <w:gridCol w:w="900"/>
        <w:gridCol w:w="5226"/>
      </w:tblGrid>
      <w:tr>
        <w:trPr>
          <w:tblHeader/>
        </w:trPr>
        <w:tc>
          <w:tcPr>
            <w:tcW w:type="dxa" w:w="29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Model</w:t>
            </w:r>
          </w:p>
        </w:tc>
        <w:tc>
          <w:tcPr>
            <w:tcW w:type="dxa" w:w="9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Params</w:t>
            </w:r>
          </w:p>
        </w:tc>
        <w:tc>
          <w:tcPr>
            <w:tcW w:type="dxa" w:w="5226"/>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Role in the design</w:t>
            </w:r>
          </w:p>
        </w:tc>
      </w:tr>
      <w:tr>
        <w:tc>
          <w:tcPr>
            <w:tcW w:type="dxa" w:w="29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Llama-3.1-8B-Instruct</w:t>
            </w:r>
          </w:p>
        </w:tc>
        <w:tc>
          <w:tcPr>
            <w:tcW w:type="dxa" w:w="9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8B</w:t>
            </w:r>
          </w:p>
        </w:tc>
        <w:tc>
          <w:tcPr>
            <w:tcW w:type="dxa" w:w="52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Cross-family comparison</w:t>
            </w:r>
          </w:p>
        </w:tc>
      </w:tr>
      <w:tr>
        <w:tc>
          <w:tcPr>
            <w:tcW w:type="dxa" w:w="29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Mistral-7B-Instruct-v0.3</w:t>
            </w:r>
          </w:p>
        </w:tc>
        <w:tc>
          <w:tcPr>
            <w:tcW w:type="dxa" w:w="9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7B</w:t>
            </w:r>
          </w:p>
        </w:tc>
        <w:tc>
          <w:tcPr>
            <w:tcW w:type="dxa" w:w="52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Cross-family comparison</w:t>
            </w:r>
          </w:p>
        </w:tc>
      </w:tr>
      <w:tr>
        <w:tc>
          <w:tcPr>
            <w:tcW w:type="dxa" w:w="29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Qwen2.5-7B-Instruct</w:t>
            </w:r>
          </w:p>
        </w:tc>
        <w:tc>
          <w:tcPr>
            <w:tcW w:type="dxa" w:w="9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7B</w:t>
            </w:r>
          </w:p>
        </w:tc>
        <w:tc>
          <w:tcPr>
            <w:tcW w:type="dxa" w:w="52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Cross-family comparison; shared anchor of the scale axis</w:t>
            </w:r>
          </w:p>
        </w:tc>
      </w:tr>
      <w:tr>
        <w:tc>
          <w:tcPr>
            <w:tcW w:type="dxa" w:w="29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Gemma-2-9B-it</w:t>
            </w:r>
          </w:p>
        </w:tc>
        <w:tc>
          <w:tcPr>
            <w:tcW w:type="dxa" w:w="9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9B</w:t>
            </w:r>
          </w:p>
        </w:tc>
        <w:tc>
          <w:tcPr>
            <w:tcW w:type="dxa" w:w="52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Cross-family comparison</w:t>
            </w:r>
          </w:p>
        </w:tc>
      </w:tr>
      <w:tr>
        <w:tc>
          <w:tcPr>
            <w:tcW w:type="dxa" w:w="29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Qwen2.5-3B-Instruct</w:t>
            </w:r>
          </w:p>
        </w:tc>
        <w:tc>
          <w:tcPr>
            <w:tcW w:type="dxa" w:w="9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3B</w:t>
            </w:r>
          </w:p>
        </w:tc>
        <w:tc>
          <w:tcPr>
            <w:tcW w:type="dxa" w:w="52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Within-family scale axis</w:t>
            </w:r>
          </w:p>
        </w:tc>
      </w:tr>
      <w:tr>
        <w:tc>
          <w:tcPr>
            <w:tcW w:type="dxa" w:w="29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Qwen2.5-14B-Instruct</w:t>
            </w:r>
          </w:p>
        </w:tc>
        <w:tc>
          <w:tcPr>
            <w:tcW w:type="dxa" w:w="9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14B</w:t>
            </w:r>
          </w:p>
        </w:tc>
        <w:tc>
          <w:tcPr>
            <w:tcW w:type="dxa" w:w="52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Within-family scale axis</w:t>
            </w:r>
          </w:p>
        </w:tc>
      </w:tr>
      <w:tr>
        <w:tc>
          <w:tcPr>
            <w:tcW w:type="dxa" w:w="29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Llama-3.3-70B-Instruct</w:t>
            </w:r>
          </w:p>
        </w:tc>
        <w:tc>
          <w:tcPr>
            <w:tcW w:type="dxa" w:w="9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70B</w:t>
            </w:r>
          </w:p>
        </w:tc>
        <w:tc>
          <w:tcPr>
            <w:tcW w:type="dxa" w:w="52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Large-model ceiling check — not a point on the scale axis</w:t>
            </w:r>
          </w:p>
        </w:tc>
      </w:tr>
    </w:tbl>
    <w:p>
      <w:pPr>
        <w:spacing w:after="160"/>
      </w:pPr>
    </w:p>
    <w:p>
      <w:pPr>
        <w:spacing w:after="130" w:line="280"/>
        <w:jc w:val="both"/>
      </w:pPr>
      <w:r>
        <w:rPr>
          <w:rFonts w:ascii="Cambria" w:cs="Cambria" w:eastAsia="Cambria" w:hAnsi="Cambria"/>
          <w:b/>
          <w:bCs/>
          <w:i w:val="false"/>
          <w:iCs w:val="false"/>
          <w:sz w:val="20"/>
          <w:szCs w:val="20"/>
        </w:rPr>
        <w:t xml:space="preserve">Model selection rationale.</w:t>
      </w:r>
      <w:r>
        <w:rPr>
          <w:rFonts w:ascii="Cambria" w:cs="Cambria" w:eastAsia="Cambria" w:hAnsi="Cambria"/>
          <w:sz w:val="20"/>
          <w:szCs w:val="20"/>
        </w:rPr>
        <w:t xml:space="preserve"> Four independently developed instruction-tuned families at approximately comparable scale — Llama-3.1-8B, Mistral-7B, Qwen2.5-7B and Gemma-2-9B — assess whether observed inconsistency patterns generalise across model families. Because these models differ simultaneously in architecture, tokenizer, pretraining corpus, post-training procedure and other design choices, cross-family comparisons are interpreted as robustness comparisons and never as causal tests of any individual factor. Within-family scale is examined separately using Qwen2.5 at 3B, 7B and 14B, holding family and training lineage approximately constant; this is an exploratory descriptive trend and is not presented as a scaling law. Llama-3.3-70B-Instruct provides a large-model ceiling check assessing whether the phenomenon persists well beyond the small-to-medium range; because it belongs to a different family it is reported separately and is not fitted on the Qwen scale trend. No causal claim is made regarding architecture, training data or alignment.</w:t>
      </w:r>
    </w:p>
    <w:p>
      <w:pPr>
        <w:spacing w:after="130" w:line="280"/>
        <w:jc w:val="both"/>
      </w:pPr>
      <w:r>
        <w:rPr>
          <w:rFonts w:ascii="Cambria" w:cs="Cambria" w:eastAsia="Cambria" w:hAnsi="Cambria"/>
          <w:b/>
          <w:bCs/>
          <w:i w:val="false"/>
          <w:iCs w:val="false"/>
          <w:sz w:val="20"/>
          <w:szCs w:val="20"/>
        </w:rPr>
        <w:t xml:space="preserve">Note on the M5 revision. </w:t>
      </w:r>
      <w:r>
        <w:rPr>
          <w:rFonts w:ascii="Cambria" w:cs="Cambria" w:eastAsia="Cambria" w:hAnsi="Cambria"/>
          <w:sz w:val="20"/>
          <w:szCs w:val="20"/>
        </w:rPr>
        <w:t xml:space="preserve">The originally proposed closed-source fifth model has been permanently replaced by Gemma-2-9B-it. Every evaluated model now has pinned open weights, removing API version drift and deprecation risk from the evaluated set. This decision is final.</w:t>
      </w:r>
    </w:p>
    <w:p>
      <w:pPr>
        <w:pStyle w:val="Heading2"/>
        <w:spacing w:after="110" w:before="260"/>
      </w:pPr>
      <w:r>
        <w:rPr>
          <w:rFonts w:ascii="Calibri" w:cs="Calibri" w:eastAsia="Calibri" w:hAnsi="Calibri"/>
          <w:b/>
          <w:bCs/>
          <w:color w:val="1F3864"/>
          <w:sz w:val="23"/>
          <w:szCs w:val="23"/>
        </w:rPr>
        <w:t xml:space="preserve">4.6 Inference protocol and reproducibility</w:t>
      </w:r>
    </w:p>
    <w:p>
      <w:pPr>
        <w:pStyle w:val="ListParagraph"/>
        <w:numPr>
          <w:ilvl w:val="0"/>
          <w:numId w:val="2"/>
        </w:numPr>
        <w:spacing w:after="70" w:line="280"/>
      </w:pPr>
      <w:r>
        <w:rPr>
          <w:rFonts w:ascii="Cambria" w:cs="Cambria" w:eastAsia="Cambria" w:hAnsi="Cambria"/>
          <w:b/>
          <w:bCs/>
          <w:i w:val="false"/>
          <w:iCs w:val="false"/>
          <w:sz w:val="20"/>
          <w:szCs w:val="20"/>
        </w:rPr>
        <w:t xml:space="preserve">Precision. </w:t>
      </w:r>
      <w:r>
        <w:rPr>
          <w:rFonts w:ascii="Cambria" w:cs="Cambria" w:eastAsia="Cambria" w:hAnsi="Cambria"/>
          <w:sz w:val="20"/>
          <w:szCs w:val="20"/>
        </w:rPr>
        <w:t xml:space="preserve">bf16 uniformly for every model that enters a comparison. Quantisation is not used selectively, because it would be confounded with model family.</w:t>
      </w:r>
    </w:p>
    <w:p>
      <w:pPr>
        <w:pStyle w:val="ListParagraph"/>
        <w:numPr>
          <w:ilvl w:val="0"/>
          <w:numId w:val="2"/>
        </w:numPr>
        <w:spacing w:after="70" w:line="280"/>
      </w:pPr>
      <w:r>
        <w:rPr>
          <w:rFonts w:ascii="Cambria" w:cs="Cambria" w:eastAsia="Cambria" w:hAnsi="Cambria"/>
          <w:b/>
          <w:bCs/>
          <w:i w:val="false"/>
          <w:iCs w:val="false"/>
          <w:sz w:val="20"/>
          <w:szCs w:val="20"/>
        </w:rPr>
        <w:t xml:space="preserve">Chat templates. </w:t>
      </w:r>
      <w:r>
        <w:rPr>
          <w:rFonts w:ascii="Cambria" w:cs="Cambria" w:eastAsia="Cambria" w:hAnsi="Cambria"/>
          <w:sz w:val="20"/>
          <w:szCs w:val="20"/>
        </w:rPr>
        <w:t xml:space="preserve">An identical system prompt does not produce an identical model input. Each model uses its own official chat template while the semantic instruction is held constant, and the fully rendered prompt string is logged for every response.</w:t>
      </w:r>
    </w:p>
    <w:p>
      <w:pPr>
        <w:pStyle w:val="ListParagraph"/>
        <w:numPr>
          <w:ilvl w:val="0"/>
          <w:numId w:val="2"/>
        </w:numPr>
        <w:spacing w:after="70" w:line="280"/>
      </w:pPr>
      <w:r>
        <w:rPr>
          <w:rFonts w:ascii="Cambria" w:cs="Cambria" w:eastAsia="Cambria" w:hAnsi="Cambria"/>
          <w:b/>
          <w:bCs/>
          <w:i w:val="false"/>
          <w:iCs w:val="false"/>
          <w:sz w:val="20"/>
          <w:szCs w:val="20"/>
        </w:rPr>
        <w:t xml:space="preserve">Decoding. </w:t>
      </w:r>
      <w:r>
        <w:rPr>
          <w:rFonts w:ascii="Cambria" w:cs="Cambria" w:eastAsia="Cambria" w:hAnsi="Cambria"/>
          <w:sz w:val="20"/>
          <w:szCs w:val="20"/>
        </w:rPr>
        <w:t xml:space="preserve">Primary run at temperature 0 with fixed seed. This is described as fixed-decoding inconsistency, never as “deterministic”: batched GPU inference is subject to kernel and batch-composition non-determinism. Determinism is verified empirically by re-running 100 prompts and diffing; residual variance is reported if present.</w:t>
      </w:r>
    </w:p>
    <w:p>
      <w:pPr>
        <w:pStyle w:val="ListParagraph"/>
        <w:numPr>
          <w:ilvl w:val="0"/>
          <w:numId w:val="2"/>
        </w:numPr>
        <w:spacing w:after="70" w:line="280"/>
      </w:pPr>
      <w:r>
        <w:rPr>
          <w:rFonts w:ascii="Cambria" w:cs="Cambria" w:eastAsia="Cambria" w:hAnsi="Cambria"/>
          <w:b/>
          <w:bCs/>
          <w:i w:val="false"/>
          <w:iCs w:val="false"/>
          <w:sz w:val="20"/>
          <w:szCs w:val="20"/>
        </w:rPr>
        <w:t xml:space="preserve">Stochastic subset. </w:t>
      </w:r>
      <w:r>
        <w:rPr>
          <w:rFonts w:ascii="Cambria" w:cs="Cambria" w:eastAsia="Cambria" w:hAnsi="Cambria"/>
          <w:sz w:val="20"/>
          <w:szCs w:val="20"/>
        </w:rPr>
        <w:t xml:space="preserve">20 constraints at temperature 0.7, 3 samples per probe, decomposing within-probe variance (sampling instability) from across-paraphrase variance (probe-induced inconsistency). These are distinct phenomena and are reported separately.</w:t>
      </w:r>
    </w:p>
    <w:p>
      <w:pPr>
        <w:pStyle w:val="ListParagraph"/>
        <w:numPr>
          <w:ilvl w:val="0"/>
          <w:numId w:val="2"/>
        </w:numPr>
        <w:spacing w:after="70" w:line="280"/>
      </w:pPr>
      <w:r>
        <w:rPr>
          <w:rFonts w:ascii="Cambria" w:cs="Cambria" w:eastAsia="Cambria" w:hAnsi="Cambria"/>
          <w:b/>
          <w:bCs/>
          <w:i w:val="false"/>
          <w:iCs w:val="false"/>
          <w:sz w:val="20"/>
          <w:szCs w:val="20"/>
        </w:rPr>
        <w:t xml:space="preserve">Gemma-2 caveat. </w:t>
      </w:r>
      <w:r>
        <w:rPr>
          <w:rFonts w:ascii="Cambria" w:cs="Cambria" w:eastAsia="Cambria" w:hAnsi="Cambria"/>
          <w:sz w:val="20"/>
          <w:szCs w:val="20"/>
        </w:rPr>
        <w:t xml:space="preserve">Gemma-2 uses attention logit soft-capping and sliding-window attention; some Flash-Attention-2 and vLLM builds have silently produced degraded output without soft-capping support. Library versions are pinned and Gemma-2 output is sanity-checked against a known-good reference before the main run, since silent degradation would be indistinguishable from a high contradiction rate.</w:t>
      </w:r>
    </w:p>
    <w:p>
      <w:pPr>
        <w:spacing w:after="60" w:line="280"/>
        <w:jc w:val="both"/>
      </w:pPr>
      <w:r>
        <w:rPr>
          <w:rFonts w:ascii="Cambria" w:cs="Cambria" w:eastAsia="Cambria" w:hAnsi="Cambria"/>
          <w:b/>
          <w:bCs/>
          <w:i w:val="false"/>
          <w:iCs w:val="false"/>
          <w:sz w:val="20"/>
          <w:szCs w:val="20"/>
        </w:rPr>
        <w:t xml:space="preserve">Provenance logged per response.</w:t>
      </w:r>
    </w:p>
    <w:p>
      <w:pPr>
        <w:spacing w:after="0" w:line="250"/>
        <w:ind w:left="360"/>
      </w:pPr>
      <w:r>
        <w:rPr>
          <w:rFonts w:ascii="Consolas" w:cs="Consolas" w:eastAsia="Consolas" w:hAnsi="Consolas"/>
          <w:color w:val="333333"/>
          <w:sz w:val="17"/>
          <w:szCs w:val="17"/>
        </w:rPr>
        <w:t xml:space="preserve">model_id, hf_revision_hash, tokenizer_hash, transformers_version, vllm_version,</w:t>
      </w:r>
    </w:p>
    <w:p>
      <w:pPr>
        <w:spacing w:after="0" w:line="250"/>
        <w:ind w:left="360"/>
      </w:pPr>
      <w:r>
        <w:rPr>
          <w:rFonts w:ascii="Consolas" w:cs="Consolas" w:eastAsia="Consolas" w:hAnsi="Consolas"/>
          <w:color w:val="333333"/>
          <w:sz w:val="17"/>
          <w:szCs w:val="17"/>
        </w:rPr>
        <w:t xml:space="preserve">torch_version, cuda_version, gpu_model, dtype, quantisation, temperature, top_p,</w:t>
      </w:r>
    </w:p>
    <w:p>
      <w:pPr>
        <w:spacing w:after="0" w:line="250"/>
        <w:ind w:left="360"/>
      </w:pPr>
      <w:r>
        <w:rPr>
          <w:rFonts w:ascii="Consolas" w:cs="Consolas" w:eastAsia="Consolas" w:hAnsi="Consolas"/>
          <w:color w:val="333333"/>
          <w:sz w:val="17"/>
          <w:szCs w:val="17"/>
        </w:rPr>
        <w:t xml:space="preserve">top_k, repetition_penalty, max_new_tokens, stop_sequences, chat_template_hash,</w:t>
      </w:r>
    </w:p>
    <w:p>
      <w:pPr>
        <w:spacing w:after="150" w:line="250"/>
        <w:ind w:left="360"/>
      </w:pPr>
      <w:r>
        <w:rPr>
          <w:rFonts w:ascii="Consolas" w:cs="Consolas" w:eastAsia="Consolas" w:hAnsi="Consolas"/>
          <w:color w:val="333333"/>
          <w:sz w:val="17"/>
          <w:szCs w:val="17"/>
        </w:rPr>
        <w:t xml:space="preserve">rendered_prompt, seed, batch_size, sample_index, timestamp</w:t>
      </w:r>
    </w:p>
    <w:p>
      <w:pPr>
        <w:pStyle w:val="Heading2"/>
        <w:spacing w:after="110" w:before="260"/>
      </w:pPr>
      <w:r>
        <w:rPr>
          <w:rFonts w:ascii="Calibri" w:cs="Calibri" w:eastAsia="Calibri" w:hAnsi="Calibri"/>
          <w:b/>
          <w:bCs/>
          <w:color w:val="1F3864"/>
          <w:sz w:val="23"/>
          <w:szCs w:val="23"/>
        </w:rPr>
        <w:t xml:space="preserve">4.7 Stage 0 — response canonicalisation</w:t>
      </w:r>
    </w:p>
    <w:p>
      <w:pPr>
        <w:spacing w:after="130" w:line="280"/>
        <w:jc w:val="both"/>
      </w:pPr>
      <w:r>
        <w:rPr>
          <w:rFonts w:ascii="Cambria" w:cs="Cambria" w:eastAsia="Cambria" w:hAnsi="Cambria"/>
          <w:sz w:val="20"/>
          <w:szCs w:val="20"/>
        </w:rPr>
        <w:t xml:space="preserve">The original proposal moved directly from model response to contradiction detector, with no normalisation layer. This is not viable: the directionality probe factor mixes “Is A the X of B?” (yes/no) with “What is the X of B?” (an entity), and comparing those raw strings is meaningless. A lexical detector would flag every such pair by construction, making the baseline a strawman rather than a floor.</w:t>
      </w:r>
    </w:p>
    <w:p>
      <w:pPr>
        <w:spacing w:after="130" w:line="280"/>
        <w:jc w:val="both"/>
      </w:pPr>
      <w:r>
        <w:rPr>
          <w:rFonts w:ascii="Cambria" w:cs="Cambria" w:eastAsia="Cambria" w:hAnsi="Cambria"/>
          <w:sz w:val="20"/>
          <w:szCs w:val="20"/>
        </w:rPr>
        <w:t xml:space="preserve">Because constraints are hand-authored over a known knowledge base, the answer space for each constraint is closed and known in advance. Alias tables are therefore built at authoring time, making canonicalisation near-exact rather than a research problem in its own right.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6426"/>
      </w:tblGrid>
      <w:tr>
        <w:trPr>
          <w:tblHeader/>
        </w:trPr>
        <w:tc>
          <w:tcPr>
            <w:tcW w:type="dxa" w:w="26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Response condition</w:t>
            </w:r>
          </w:p>
        </w:tc>
        <w:tc>
          <w:tcPr>
            <w:tcW w:type="dxa" w:w="6426"/>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Assigned label</w:t>
            </w:r>
          </w:p>
        </w:tc>
      </w:tr>
      <w:tr>
        <w:tc>
          <w:tcPr>
            <w:tcW w:type="dxa" w:w="26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Recognised canonical answer</w:t>
            </w:r>
          </w:p>
        </w:tc>
        <w:tc>
          <w:tcPr>
            <w:tcW w:type="dxa" w:w="64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canonical_answer_i</w:t>
            </w:r>
          </w:p>
        </w:tc>
      </w:tr>
      <w:tr>
        <w:tc>
          <w:tcPr>
            <w:tcW w:type="dxa" w:w="26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Refusal or “I don't know” or UNKNOWN</w:t>
            </w:r>
          </w:p>
        </w:tc>
        <w:tc>
          <w:tcPr>
            <w:tcW w:type="dxa" w:w="64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ABSTAIN</w:t>
            </w:r>
          </w:p>
        </w:tc>
      </w:tr>
      <w:tr>
        <w:tc>
          <w:tcPr>
            <w:tcW w:type="dxa" w:w="26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Malformed, unparseable or empty</w:t>
            </w:r>
          </w:p>
        </w:tc>
        <w:tc>
          <w:tcPr>
            <w:tcW w:type="dxa" w:w="64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INVALID</w:t>
            </w:r>
          </w:p>
        </w:tc>
      </w:tr>
      <w:tr>
        <w:tc>
          <w:tcPr>
            <w:tcW w:type="dxa" w:w="26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Multiple mutually exclusive answers in one response</w:t>
            </w:r>
          </w:p>
        </w:tc>
        <w:tc>
          <w:tcPr>
            <w:tcW w:type="dxa" w:w="64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AMBIGUOUS</w:t>
            </w:r>
          </w:p>
        </w:tc>
      </w:tr>
      <w:tr>
        <w:tc>
          <w:tcPr>
            <w:tcW w:type="dxa" w:w="26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Timeout</w:t>
            </w:r>
          </w:p>
        </w:tc>
        <w:tc>
          <w:tcPr>
            <w:tcW w:type="dxa" w:w="64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One retry under identical configuration, then FAILED</w:t>
            </w:r>
          </w:p>
        </w:tc>
      </w:tr>
    </w:tbl>
    <w:p>
      <w:pPr>
        <w:spacing w:after="140"/>
      </w:pPr>
    </w:p>
    <w:p>
      <w:pPr>
        <w:spacing w:after="130" w:line="280"/>
        <w:jc w:val="both"/>
      </w:pPr>
      <w:r>
        <w:rPr>
          <w:rFonts w:ascii="Cambria" w:cs="Cambria" w:eastAsia="Cambria" w:hAnsi="Cambria"/>
          <w:b/>
          <w:bCs/>
          <w:i w:val="false"/>
          <w:iCs w:val="false"/>
          <w:sz w:val="20"/>
          <w:szCs w:val="20"/>
        </w:rPr>
        <w:t xml:space="preserve">Responses are never manually cleaned after results are inspected.</w:t>
      </w:r>
      <w:r>
        <w:rPr>
          <w:rFonts w:ascii="Cambria" w:cs="Cambria" w:eastAsia="Cambria" w:hAnsi="Cambria"/>
          <w:sz w:val="20"/>
          <w:szCs w:val="20"/>
        </w:rPr>
        <w:t xml:space="preserve"> Abstention rate is reported per class as a first-class outcome; it is expected to rise at C4 and that rise is itself a finding.</w:t>
      </w:r>
    </w:p>
    <w:p>
      <w:pPr>
        <w:pStyle w:val="Heading2"/>
        <w:spacing w:after="110" w:before="260"/>
      </w:pPr>
      <w:r>
        <w:rPr>
          <w:rFonts w:ascii="Calibri" w:cs="Calibri" w:eastAsia="Calibri" w:hAnsi="Calibri"/>
          <w:b/>
          <w:bCs/>
          <w:color w:val="1F3864"/>
          <w:sz w:val="23"/>
          <w:szCs w:val="23"/>
        </w:rPr>
        <w:t xml:space="preserve">4.8 Contradiction detection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700"/>
        <w:gridCol w:w="2400"/>
        <w:gridCol w:w="3600"/>
        <w:gridCol w:w="2326"/>
      </w:tblGrid>
      <w:tr>
        <w:trPr>
          <w:tblHeader/>
        </w:trPr>
        <w:tc>
          <w:tcPr>
            <w:tcW w:type="dxa" w:w="7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Layer</w:t>
            </w:r>
          </w:p>
        </w:tc>
        <w:tc>
          <w:tcPr>
            <w:tcW w:type="dxa" w:w="24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Mechanism</w:t>
            </w:r>
          </w:p>
        </w:tc>
        <w:tc>
          <w:tcPr>
            <w:tcW w:type="dxa" w:w="36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Role</w:t>
            </w:r>
          </w:p>
        </w:tc>
        <w:tc>
          <w:tcPr>
            <w:tcW w:type="dxa" w:w="2326"/>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Degrades with class?</w:t>
            </w:r>
          </w:p>
        </w:tc>
      </w:tr>
      <w:tr>
        <w:tc>
          <w:tcPr>
            <w:tcW w:type="dxa" w:w="7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Stage 0</w:t>
            </w:r>
          </w:p>
        </w:tc>
        <w:tc>
          <w:tcPr>
            <w:tcW w:type="dxa" w:w="24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Canonicalisation</w:t>
            </w:r>
          </w:p>
        </w:tc>
        <w:tc>
          <w:tcPr>
            <w:tcW w:type="dxa" w:w="36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Prerequisite for all detectors</w:t>
            </w:r>
          </w:p>
        </w:tc>
        <w:tc>
          <w:tcPr>
            <w:tcW w:type="dxa" w:w="23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No</w:t>
            </w:r>
          </w:p>
        </w:tc>
      </w:tr>
      <w:tr>
        <w:tc>
          <w:tcPr>
            <w:tcW w:type="dxa" w:w="7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D0</w:t>
            </w:r>
          </w:p>
        </w:tc>
        <w:tc>
          <w:tcPr>
            <w:tcW w:type="dxa" w:w="24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Symbolic constraint reference</w:t>
            </w:r>
          </w:p>
        </w:tc>
        <w:tc>
          <w:tcPr>
            <w:tcW w:type="dxa" w:w="36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High-confidence automated reference where formally executable</w:t>
            </w:r>
          </w:p>
        </w:tc>
        <w:tc>
          <w:tcPr>
            <w:tcW w:type="dxa" w:w="23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No</w:t>
            </w:r>
          </w:p>
        </w:tc>
      </w:tr>
      <w:tr>
        <w:tc>
          <w:tcPr>
            <w:tcW w:type="dxa" w:w="7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D1</w:t>
            </w:r>
          </w:p>
        </w:tc>
        <w:tc>
          <w:tcPr>
            <w:tcW w:type="dxa" w:w="24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Canonical exact match</w:t>
            </w:r>
          </w:p>
        </w:tc>
        <w:tc>
          <w:tcPr>
            <w:tcW w:type="dxa" w:w="36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Deterministic lexical baseline</w:t>
            </w:r>
          </w:p>
        </w:tc>
        <w:tc>
          <w:tcPr>
            <w:tcW w:type="dxa" w:w="23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Coverage only</w:t>
            </w:r>
          </w:p>
        </w:tc>
      </w:tr>
      <w:tr>
        <w:tc>
          <w:tcPr>
            <w:tcW w:type="dxa" w:w="7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D2</w:t>
            </w:r>
          </w:p>
        </w:tc>
        <w:tc>
          <w:tcPr>
            <w:tcW w:type="dxa" w:w="24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NLI on declarative renderings</w:t>
            </w:r>
          </w:p>
        </w:tc>
        <w:tc>
          <w:tcPr>
            <w:tcW w:type="dxa" w:w="36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Automated semantic contradiction signal</w:t>
            </w:r>
          </w:p>
        </w:tc>
        <w:tc>
          <w:tcPr>
            <w:tcW w:type="dxa" w:w="23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Yes — measured</w:t>
            </w:r>
          </w:p>
        </w:tc>
      </w:tr>
      <w:tr>
        <w:tc>
          <w:tcPr>
            <w:tcW w:type="dxa" w:w="7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D3</w:t>
            </w:r>
          </w:p>
        </w:tc>
        <w:tc>
          <w:tcPr>
            <w:tcW w:type="dxa" w:w="24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Pairwise LLM judge</w:t>
            </w:r>
          </w:p>
        </w:tc>
        <w:tc>
          <w:tcPr>
            <w:tcW w:type="dxa" w:w="36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Flexible semantic evaluator</w:t>
            </w:r>
          </w:p>
        </w:tc>
        <w:tc>
          <w:tcPr>
            <w:tcW w:type="dxa" w:w="23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Yes — measured</w:t>
            </w:r>
          </w:p>
        </w:tc>
      </w:tr>
      <w:tr>
        <w:tc>
          <w:tcPr>
            <w:tcW w:type="dxa" w:w="7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D4</w:t>
            </w:r>
          </w:p>
        </w:tc>
        <w:tc>
          <w:tcPr>
            <w:tcW w:type="dxa" w:w="24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Distributional instability</w:t>
            </w:r>
          </w:p>
        </w:tc>
        <w:tc>
          <w:tcPr>
            <w:tcW w:type="dxa" w:w="36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Exploratory grey-box analysis (not a contradiction detector)</w:t>
            </w:r>
          </w:p>
        </w:tc>
        <w:tc>
          <w:tcPr>
            <w:tcW w:type="dxa" w:w="23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No</w:t>
            </w:r>
          </w:p>
        </w:tc>
      </w:tr>
      <w:tr>
        <w:tc>
          <w:tcPr>
            <w:tcW w:type="dxa" w:w="7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H</w:t>
            </w:r>
          </w:p>
        </w:tc>
        <w:tc>
          <w:tcPr>
            <w:tcW w:type="dxa" w:w="24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Blinded human annotation</w:t>
            </w:r>
          </w:p>
        </w:tc>
        <w:tc>
          <w:tcPr>
            <w:tcW w:type="dxa" w:w="36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Semantic gold standard</w:t>
            </w:r>
          </w:p>
        </w:tc>
        <w:tc>
          <w:tcPr>
            <w:tcW w:type="dxa" w:w="23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w:t>
            </w:r>
          </w:p>
        </w:tc>
      </w:tr>
    </w:tbl>
    <w:p>
      <w:pPr>
        <w:spacing w:after="160"/>
      </w:pPr>
    </w:p>
    <w:p>
      <w:pPr>
        <w:pStyle w:val="Heading3"/>
        <w:spacing w:after="90" w:before="200"/>
      </w:pPr>
      <w:r>
        <w:rPr>
          <w:rFonts w:ascii="Calibri" w:cs="Calibri" w:eastAsia="Calibri" w:hAnsi="Calibri"/>
          <w:b/>
          <w:bCs/>
          <w:color w:val="2E4A7D"/>
          <w:sz w:val="20"/>
          <w:szCs w:val="20"/>
        </w:rPr>
        <w:t xml:space="preserve">4.8.1 The central measurement threat, and how D0 addresses it</w:t>
      </w:r>
    </w:p>
    <w:p>
      <w:pPr>
        <w:spacing w:after="130" w:line="280"/>
        <w:jc w:val="both"/>
      </w:pPr>
      <w:r>
        <w:rPr>
          <w:rFonts w:ascii="Cambria" w:cs="Cambria" w:eastAsia="Cambria" w:hAnsi="Cambria"/>
          <w:sz w:val="20"/>
          <w:szCs w:val="20"/>
        </w:rPr>
        <w:t xml:space="preserve">Learned detectors become less reliable as constraints become quantified and temporal — the same axis along which the phenomenon is hypothesised to vary. An increase in flagged violations at C4 is therefore unattributable in principle: it could be model inconsistency, detector false positives, or detector false negatives, and nothing in the raw numbers distinguishes them.</w:t>
      </w:r>
    </w:p>
    <w:p>
      <w:pPr>
        <w:spacing w:after="130" w:line="280"/>
        <w:jc w:val="both"/>
      </w:pPr>
      <w:r>
        <w:rPr>
          <w:rFonts w:ascii="Cambria" w:cs="Cambria" w:eastAsia="Cambria" w:hAnsi="Cambria"/>
          <w:b/>
          <w:bCs/>
          <w:i w:val="false"/>
          <w:iCs w:val="false"/>
          <w:sz w:val="20"/>
          <w:szCs w:val="20"/>
        </w:rPr>
        <w:t xml:space="preserve">D0's error mode does not track constraint class</w:t>
      </w:r>
      <w:r>
        <w:rPr>
          <w:rFonts w:ascii="Cambria" w:cs="Cambria" w:eastAsia="Cambria" w:hAnsi="Cambria"/>
          <w:sz w:val="20"/>
          <w:szCs w:val="20"/>
        </w:rPr>
        <w:t xml:space="preserve">, because a symbolic predicate either executes correctly or does not, independently of how logically demanding the constraint is. Routing the primary profile through D0 wherever D0 applies therefore removes the confound for that subset. Two consequences: </w:t>
      </w:r>
      <w:r>
        <w:rPr>
          <w:rFonts w:ascii="Cambria" w:cs="Cambria" w:eastAsia="Cambria" w:hAnsi="Cambria"/>
          <w:b/>
          <w:bCs/>
          <w:i w:val="false"/>
          <w:iCs w:val="false"/>
          <w:sz w:val="20"/>
          <w:szCs w:val="20"/>
        </w:rPr>
        <w:t xml:space="preserve">D0's coverage rate is reported per class as a result in its own right</w:t>
      </w:r>
      <w:r>
        <w:rPr>
          <w:rFonts w:ascii="Cambria" w:cs="Cambria" w:eastAsia="Cambria" w:hAnsi="Cambria"/>
          <w:sz w:val="20"/>
          <w:szCs w:val="20"/>
        </w:rPr>
        <w:t xml:space="preserve"> — how much of each class admits deterministic verification at all is precisely the parent framework's question — and for the residual semantic cases D0 cannot reach, raw and detector-corrected estimates are reported as a supplementary sensitivity analysis rather than as the headline.</w:t>
      </w:r>
    </w:p>
    <w:p>
      <w:pPr>
        <w:pStyle w:val="Heading3"/>
        <w:spacing w:after="90" w:before="200"/>
      </w:pPr>
      <w:r>
        <w:rPr>
          <w:rFonts w:ascii="Calibri" w:cs="Calibri" w:eastAsia="Calibri" w:hAnsi="Calibri"/>
          <w:b/>
          <w:bCs/>
          <w:color w:val="2E4A7D"/>
          <w:sz w:val="20"/>
          <w:szCs w:val="20"/>
        </w:rPr>
        <w:t xml:space="preserve">4.8.2 D0 — symbolic constraint reference</w:t>
      </w:r>
    </w:p>
    <w:p>
      <w:pPr>
        <w:spacing w:after="130" w:line="280"/>
        <w:jc w:val="both"/>
      </w:pPr>
      <w:r>
        <w:rPr>
          <w:rFonts w:ascii="Cambria" w:cs="Cambria" w:eastAsia="Cambria" w:hAnsi="Cambria"/>
          <w:sz w:val="20"/>
          <w:szCs w:val="20"/>
        </w:rPr>
        <w:t xml:space="preserve">Each constraint carries a machine-checkable predicate authored alongside it, so that contradiction becomes a deterministic operation over canonicalised answers:</w:t>
      </w:r>
    </w:p>
    <w:p>
      <w:pPr>
        <w:spacing w:after="0" w:line="250"/>
        <w:ind w:left="360"/>
      </w:pPr>
      <w:r>
        <w:rPr>
          <w:rFonts w:ascii="Consolas" w:cs="Consolas" w:eastAsia="Consolas" w:hAnsi="Consolas"/>
          <w:color w:val="333333"/>
          <w:sz w:val="17"/>
          <w:szCs w:val="17"/>
        </w:rPr>
        <w:t xml:space="preserve"># C4 schema: office cannot be held before it existed</w:t>
      </w:r>
    </w:p>
    <w:p>
      <w:pPr>
        <w:spacing w:after="0" w:line="250"/>
        <w:ind w:left="360"/>
      </w:pPr>
      <w:r>
        <w:rPr>
          <w:rFonts w:ascii="Consolas" w:cs="Consolas" w:eastAsia="Consolas" w:hAnsi="Consolas"/>
          <w:color w:val="333333"/>
          <w:sz w:val="17"/>
          <w:szCs w:val="17"/>
        </w:rPr>
        <w:t xml:space="preserve">def check(responses, kb):</w:t>
      </w:r>
    </w:p>
    <w:p>
      <w:pPr>
        <w:spacing w:after="0" w:line="250"/>
        <w:ind w:left="360"/>
      </w:pPr>
      <w:r>
        <w:rPr>
          <w:rFonts w:ascii="Consolas" w:cs="Consolas" w:eastAsia="Consolas" w:hAnsi="Consolas"/>
          <w:color w:val="333333"/>
          <w:sz w:val="17"/>
          <w:szCs w:val="17"/>
        </w:rPr>
        <w:t xml:space="preserve">    for r in responses:</w:t>
      </w:r>
    </w:p>
    <w:p>
      <w:pPr>
        <w:spacing w:after="0" w:line="250"/>
        <w:ind w:left="360"/>
      </w:pPr>
      <w:r>
        <w:rPr>
          <w:rFonts w:ascii="Consolas" w:cs="Consolas" w:eastAsia="Consolas" w:hAnsi="Consolas"/>
          <w:color w:val="333333"/>
          <w:sz w:val="17"/>
          <w:szCs w:val="17"/>
        </w:rPr>
        <w:t xml:space="preserve">        if r.label in (ABSTAIN, INVALID): continue</w:t>
      </w:r>
    </w:p>
    <w:p>
      <w:pPr>
        <w:spacing w:after="0" w:line="250"/>
        <w:ind w:left="360"/>
      </w:pPr>
      <w:r>
        <w:rPr>
          <w:rFonts w:ascii="Consolas" w:cs="Consolas" w:eastAsia="Consolas" w:hAnsi="Consolas"/>
          <w:color w:val="333333"/>
          <w:sz w:val="17"/>
          <w:szCs w:val="17"/>
        </w:rPr>
        <w:t xml:space="preserve">        if r.start_date &lt; kb.office_creation_date(r.office):</w:t>
      </w:r>
    </w:p>
    <w:p>
      <w:pPr>
        <w:spacing w:after="0" w:line="250"/>
        <w:ind w:left="360"/>
      </w:pPr>
      <w:r>
        <w:rPr>
          <w:rFonts w:ascii="Consolas" w:cs="Consolas" w:eastAsia="Consolas" w:hAnsi="Consolas"/>
          <w:color w:val="333333"/>
          <w:sz w:val="17"/>
          <w:szCs w:val="17"/>
        </w:rPr>
        <w:t xml:space="preserve">            return VIOLATION</w:t>
      </w:r>
    </w:p>
    <w:p>
      <w:pPr>
        <w:spacing w:after="150" w:line="250"/>
        <w:ind w:left="360"/>
      </w:pPr>
      <w:r>
        <w:rPr>
          <w:rFonts w:ascii="Consolas" w:cs="Consolas" w:eastAsia="Consolas" w:hAnsi="Consolas"/>
          <w:color w:val="333333"/>
          <w:sz w:val="17"/>
          <w:szCs w:val="17"/>
        </w:rPr>
        <w:t xml:space="preserve">    return SATISFIED</w:t>
      </w:r>
    </w:p>
    <w:p>
      <w:pPr>
        <w:spacing w:after="130" w:line="280"/>
        <w:jc w:val="both"/>
      </w:pPr>
      <w:r>
        <w:rPr>
          <w:rFonts w:ascii="Cambria" w:cs="Cambria" w:eastAsia="Cambria" w:hAnsi="Cambria"/>
          <w:b/>
          <w:bCs/>
          <w:i w:val="false"/>
          <w:iCs w:val="false"/>
          <w:sz w:val="20"/>
          <w:szCs w:val="20"/>
        </w:rPr>
        <w:t xml:space="preserve">D0 performs deterministic conditional verification, not oracular judgement.</w:t>
      </w:r>
      <w:r>
        <w:rPr>
          <w:rFonts w:ascii="Cambria" w:cs="Cambria" w:eastAsia="Cambria" w:hAnsi="Cambria"/>
          <w:sz w:val="20"/>
          <w:szCs w:val="20"/>
        </w:rPr>
        <w:t xml:space="preserve"> Its verdict is deterministic </w:t>
      </w:r>
      <w:r>
        <w:rPr>
          <w:rFonts w:ascii="Cambria" w:cs="Cambria" w:eastAsia="Cambria" w:hAnsi="Cambria"/>
          <w:b w:val="false"/>
          <w:bCs w:val="false"/>
          <w:i/>
          <w:iCs/>
          <w:sz w:val="20"/>
          <w:szCs w:val="20"/>
        </w:rPr>
        <w:t xml:space="preserve">conditional on</w:t>
      </w:r>
      <w:r>
        <w:rPr>
          <w:rFonts w:ascii="Cambria" w:cs="Cambria" w:eastAsia="Cambria" w:hAnsi="Cambria"/>
          <w:sz w:val="20"/>
          <w:szCs w:val="20"/>
        </w:rPr>
        <w:t xml:space="preserve"> the correctness of the formalisation, the canonicalisation and the knowledge base; a faulty predicate produces a confidently wrong answer across every instance of its schema. Errors are therefore systematic and schema-correlated rather than random, and are controlled by an explicit policy:</w:t>
      </w:r>
    </w:p>
    <w:p>
      <w:pPr>
        <w:pStyle w:val="ListParagraph"/>
        <w:numPr>
          <w:ilvl w:val="0"/>
          <w:numId w:val="3"/>
        </w:numPr>
        <w:spacing w:after="70" w:line="280"/>
      </w:pPr>
      <w:r>
        <w:rPr>
          <w:rFonts w:ascii="Cambria" w:cs="Cambria" w:eastAsia="Cambria" w:hAnsi="Cambria"/>
          <w:sz w:val="20"/>
          <w:szCs w:val="20"/>
        </w:rPr>
        <w:t xml:space="preserve">Author the predicate; verify it manually against three hand-checked instances of its schema.</w:t>
      </w:r>
    </w:p>
    <w:p>
      <w:pPr>
        <w:pStyle w:val="ListParagraph"/>
        <w:numPr>
          <w:ilvl w:val="0"/>
          <w:numId w:val="3"/>
        </w:numPr>
        <w:spacing w:after="70" w:line="280"/>
      </w:pPr>
      <w:r>
        <w:rPr>
          <w:rFonts w:ascii="Cambria" w:cs="Cambria" w:eastAsia="Cambria" w:hAnsi="Cambria"/>
          <w:sz w:val="20"/>
          <w:szCs w:val="20"/>
        </w:rPr>
        <w:t xml:space="preserve">Freeze all predicates before test evaluation.</w:t>
      </w:r>
    </w:p>
    <w:p>
      <w:pPr>
        <w:pStyle w:val="ListParagraph"/>
        <w:numPr>
          <w:ilvl w:val="0"/>
          <w:numId w:val="3"/>
        </w:numPr>
        <w:spacing w:after="70" w:line="280"/>
      </w:pPr>
      <w:r>
        <w:rPr>
          <w:rFonts w:ascii="Cambria" w:cs="Cambria" w:eastAsia="Cambria" w:hAnsi="Cambria"/>
          <w:sz w:val="20"/>
          <w:szCs w:val="20"/>
        </w:rPr>
        <w:t xml:space="preserve">On the development split, a D0–human disagreement is treated as a formalisation bug and the predicate may be corrected.</w:t>
      </w:r>
    </w:p>
    <w:p>
      <w:pPr>
        <w:pStyle w:val="ListParagraph"/>
        <w:numPr>
          <w:ilvl w:val="0"/>
          <w:numId w:val="3"/>
        </w:numPr>
        <w:spacing w:after="70" w:line="280"/>
      </w:pPr>
      <w:r>
        <w:rPr>
          <w:rFonts w:ascii="Cambria" w:cs="Cambria" w:eastAsia="Cambria" w:hAnsi="Cambria"/>
          <w:sz w:val="20"/>
          <w:szCs w:val="20"/>
        </w:rPr>
        <w:t xml:space="preserve">On the test split, a D0–human disagreement is recorded as D0's measured error rate and the predicate is not modified.</w:t>
      </w:r>
    </w:p>
    <w:p>
      <w:pPr>
        <w:pStyle w:val="Heading3"/>
        <w:spacing w:after="90" w:before="200"/>
      </w:pPr>
      <w:r>
        <w:rPr>
          <w:rFonts w:ascii="Calibri" w:cs="Calibri" w:eastAsia="Calibri" w:hAnsi="Calibri"/>
          <w:b/>
          <w:bCs/>
          <w:color w:val="2E4A7D"/>
          <w:sz w:val="20"/>
          <w:szCs w:val="20"/>
        </w:rPr>
        <w:t xml:space="preserve">4.8.3 D1 — canonical exact match</w:t>
      </w:r>
    </w:p>
    <w:p>
      <w:pPr>
        <w:spacing w:after="130" w:line="280"/>
        <w:jc w:val="both"/>
      </w:pPr>
      <w:r>
        <w:rPr>
          <w:rFonts w:ascii="Cambria" w:cs="Cambria" w:eastAsia="Cambria" w:hAnsi="Cambria"/>
          <w:sz w:val="20"/>
          <w:szCs w:val="20"/>
        </w:rPr>
        <w:t xml:space="preserve">Applied after Stage 0, exact match on canonical answers is a legitimate baseline rather than a deliberately broken one. Its coverage shrinks as constraint structure becomes more demanding, and that shrinkage is the reportable result.</w:t>
      </w:r>
    </w:p>
    <w:p>
      <w:pPr>
        <w:pStyle w:val="Heading3"/>
        <w:spacing w:after="90" w:before="200"/>
      </w:pPr>
      <w:r>
        <w:rPr>
          <w:rFonts w:ascii="Calibri" w:cs="Calibri" w:eastAsia="Calibri" w:hAnsi="Calibri"/>
          <w:b/>
          <w:bCs/>
          <w:color w:val="2E4A7D"/>
          <w:sz w:val="20"/>
          <w:szCs w:val="20"/>
        </w:rPr>
        <w:t xml:space="preserve">4.8.4 D2 — NLI</w:t>
      </w:r>
    </w:p>
    <w:p>
      <w:pPr>
        <w:pStyle w:val="ListParagraph"/>
        <w:numPr>
          <w:ilvl w:val="0"/>
          <w:numId w:val="2"/>
        </w:numPr>
        <w:spacing w:after="70" w:line="280"/>
      </w:pPr>
      <w:r>
        <w:rPr>
          <w:rFonts w:ascii="Cambria" w:cs="Cambria" w:eastAsia="Cambria" w:hAnsi="Cambria"/>
          <w:b/>
          <w:bCs/>
          <w:i w:val="false"/>
          <w:iCs w:val="false"/>
          <w:sz w:val="20"/>
          <w:szCs w:val="20"/>
        </w:rPr>
        <w:t xml:space="preserve">Checkpoint selection is empirical, not assumed. </w:t>
      </w:r>
      <w:r>
        <w:rPr>
          <w:rFonts w:ascii="Cambria" w:cs="Cambria" w:eastAsia="Cambria" w:hAnsi="Cambria"/>
          <w:sz w:val="20"/>
          <w:szCs w:val="20"/>
        </w:rPr>
        <w:t xml:space="preserve">The candidate set includes both MNLI-only checkpoints and checkpoints trained across multiple NLI corpora (FEVER-NLI, ANLI, LingNLI, WANLI). No candidate is presumed better calibrated for this task on the basis of model-card or leaderboard figures; the checkpoint is selected on the development split against human-labelled contradiction pairs and frozen before test evaluation.</w:t>
      </w:r>
    </w:p>
    <w:p>
      <w:pPr>
        <w:pStyle w:val="ListParagraph"/>
        <w:numPr>
          <w:ilvl w:val="0"/>
          <w:numId w:val="2"/>
        </w:numPr>
        <w:spacing w:after="70" w:line="280"/>
      </w:pPr>
      <w:r>
        <w:rPr>
          <w:rFonts w:ascii="Cambria" w:cs="Cambria" w:eastAsia="Cambria" w:hAnsi="Cambria"/>
          <w:sz w:val="20"/>
          <w:szCs w:val="20"/>
        </w:rPr>
        <w:t xml:space="preserve">Operates on declarative propositions only. Question and cloze forms are converted via Stage 0 into statements (“The capital of X is Y”) before classification.</w:t>
      </w:r>
    </w:p>
    <w:p>
      <w:pPr>
        <w:pStyle w:val="ListParagraph"/>
        <w:numPr>
          <w:ilvl w:val="0"/>
          <w:numId w:val="2"/>
        </w:numPr>
        <w:spacing w:after="70" w:line="280"/>
      </w:pPr>
      <w:r>
        <w:rPr>
          <w:rFonts w:ascii="Cambria" w:cs="Cambria" w:eastAsia="Cambria" w:hAnsi="Cambria"/>
          <w:sz w:val="20"/>
          <w:szCs w:val="20"/>
        </w:rPr>
        <w:t xml:space="preserve">Claim-level rather than response-level: the constraint-relevant proposition is extracted before comparison.</w:t>
      </w:r>
    </w:p>
    <w:p>
      <w:pPr>
        <w:pStyle w:val="ListParagraph"/>
        <w:numPr>
          <w:ilvl w:val="0"/>
          <w:numId w:val="2"/>
        </w:numPr>
        <w:spacing w:after="70" w:line="280"/>
      </w:pPr>
      <w:r>
        <w:rPr>
          <w:rFonts w:ascii="Cambria" w:cs="Cambria" w:eastAsia="Cambria" w:hAnsi="Cambria"/>
          <w:sz w:val="20"/>
          <w:szCs w:val="20"/>
        </w:rPr>
        <w:t xml:space="preserve">NLI is asymmetric, so both orderings are evaluated and the maximum contradiction probability is taken.</w:t>
      </w:r>
    </w:p>
    <w:p>
      <w:pPr>
        <w:pStyle w:val="ListParagraph"/>
        <w:numPr>
          <w:ilvl w:val="0"/>
          <w:numId w:val="2"/>
        </w:numPr>
        <w:spacing w:after="70" w:line="280"/>
      </w:pPr>
      <w:r>
        <w:rPr>
          <w:rFonts w:ascii="Cambria" w:cs="Cambria" w:eastAsia="Cambria" w:hAnsi="Cambria"/>
          <w:sz w:val="20"/>
          <w:szCs w:val="20"/>
        </w:rPr>
        <w:t xml:space="preserve">The decision threshold is calibrated per class on the development split and frozen before test evaluation. A bare 0.5 threshold is never used.</w:t>
      </w:r>
    </w:p>
    <w:p>
      <w:pPr>
        <w:pStyle w:val="Heading3"/>
        <w:spacing w:after="90" w:before="200"/>
      </w:pPr>
      <w:r>
        <w:rPr>
          <w:rFonts w:ascii="Calibri" w:cs="Calibri" w:eastAsia="Calibri" w:hAnsi="Calibri"/>
          <w:b/>
          <w:bCs/>
          <w:color w:val="2E4A7D"/>
          <w:sz w:val="20"/>
          <w:szCs w:val="20"/>
        </w:rPr>
        <w:t xml:space="preserve">4.8.5 D3 — pairwise LLM judge</w:t>
      </w:r>
    </w:p>
    <w:p>
      <w:pPr>
        <w:pStyle w:val="ListParagraph"/>
        <w:numPr>
          <w:ilvl w:val="0"/>
          <w:numId w:val="2"/>
        </w:numPr>
        <w:spacing w:after="70" w:line="280"/>
      </w:pPr>
      <w:r>
        <w:rPr>
          <w:rFonts w:ascii="Cambria" w:cs="Cambria" w:eastAsia="Cambria" w:hAnsi="Cambria"/>
          <w:sz w:val="20"/>
          <w:szCs w:val="20"/>
        </w:rPr>
        <w:t xml:space="preserve">Judgement is pairwise, matching the unit used by D2 and by the primary metric, rather than a single verdict over the full response set. A set-level verdict discards which pair conflicted and introduces position and lost-in-the-middle effects.</w:t>
      </w:r>
    </w:p>
    <w:p>
      <w:pPr>
        <w:pStyle w:val="ListParagraph"/>
        <w:numPr>
          <w:ilvl w:val="0"/>
          <w:numId w:val="2"/>
        </w:numPr>
        <w:spacing w:after="70" w:line="280"/>
      </w:pPr>
      <w:r>
        <w:rPr>
          <w:rFonts w:ascii="Cambria" w:cs="Cambria" w:eastAsia="Cambria" w:hAnsi="Cambria"/>
          <w:sz w:val="20"/>
          <w:szCs w:val="20"/>
        </w:rPr>
        <w:t xml:space="preserve">Single-shot for the primary run, with randomised A/B presentation order. Ensembling D3 while running D1 and D2 single-shot would not be a like-for-like detector comparison, and is not how the detector would be deployed.</w:t>
      </w:r>
    </w:p>
    <w:p>
      <w:pPr>
        <w:pStyle w:val="ListParagraph"/>
        <w:numPr>
          <w:ilvl w:val="0"/>
          <w:numId w:val="2"/>
        </w:numPr>
        <w:spacing w:after="70" w:line="280"/>
      </w:pPr>
      <w:r>
        <w:rPr>
          <w:rFonts w:ascii="Cambria" w:cs="Cambria" w:eastAsia="Cambria" w:hAnsi="Cambria"/>
          <w:sz w:val="20"/>
          <w:szCs w:val="20"/>
        </w:rPr>
        <w:t xml:space="preserve">Judge stability is measured on a stratified subset with three repeated judgements and randomised order.</w:t>
      </w:r>
    </w:p>
    <w:p>
      <w:pPr>
        <w:pStyle w:val="ListParagraph"/>
        <w:numPr>
          <w:ilvl w:val="0"/>
          <w:numId w:val="2"/>
        </w:numPr>
        <w:spacing w:after="70" w:line="280"/>
      </w:pPr>
      <w:r>
        <w:rPr>
          <w:rFonts w:ascii="Cambria" w:cs="Cambria" w:eastAsia="Cambria" w:hAnsi="Cambria"/>
          <w:sz w:val="20"/>
          <w:szCs w:val="20"/>
        </w:rPr>
        <w:t xml:space="preserve">Structured output: label ∈ {CONTRADICTION, COMPATIBLE, UNCLEAR}, confidence, conflicting span A, conflicting span B, reason. The spans materially accelerate human validation.</w:t>
      </w:r>
    </w:p>
    <w:p>
      <w:pPr>
        <w:pStyle w:val="ListParagraph"/>
        <w:numPr>
          <w:ilvl w:val="0"/>
          <w:numId w:val="2"/>
        </w:numPr>
        <w:spacing w:after="70" w:line="280"/>
      </w:pPr>
      <w:r>
        <w:rPr>
          <w:rFonts w:ascii="Cambria" w:cs="Cambria" w:eastAsia="Cambria" w:hAnsi="Cambria"/>
          <w:b/>
          <w:bCs/>
          <w:i w:val="false"/>
          <w:iCs w:val="false"/>
          <w:sz w:val="20"/>
          <w:szCs w:val="20"/>
        </w:rPr>
        <w:t xml:space="preserve">The judge is external to every evaluated model.</w:t>
      </w:r>
      <w:r>
        <w:rPr>
          <w:rFonts w:ascii="Cambria" w:cs="Cambria" w:eastAsia="Cambria" w:hAnsi="Cambria"/>
          <w:sz w:val="20"/>
          <w:szCs w:val="20"/>
        </w:rPr>
        <w:t xml:space="preserve"> In particular it is not Llama-3.3-70B, which is an evaluated model. A version-pinned model outside all seven evaluated families serves as primary judge, with a strong open-weight judge on a stratified subset as a reproducibility check; every raw judgement is archived. Judge–human agreement is additionally compared across Qwen-generated and non-Qwen-generated responses so that any family-affinity effect is measured rather than assumed absent.</w:t>
      </w:r>
    </w:p>
    <w:p>
      <w:pPr>
        <w:pStyle w:val="ListParagraph"/>
        <w:numPr>
          <w:ilvl w:val="0"/>
          <w:numId w:val="2"/>
        </w:numPr>
        <w:spacing w:after="70" w:line="280"/>
      </w:pPr>
      <w:r>
        <w:rPr>
          <w:rFonts w:ascii="Cambria" w:cs="Cambria" w:eastAsia="Cambria" w:hAnsi="Cambria"/>
          <w:b/>
          <w:bCs/>
          <w:i w:val="false"/>
          <w:iCs w:val="false"/>
          <w:sz w:val="20"/>
          <w:szCs w:val="20"/>
        </w:rPr>
        <w:t xml:space="preserve">Cost control. </w:t>
      </w:r>
      <w:r>
        <w:rPr>
          <w:rFonts w:ascii="Cambria" w:cs="Cambria" w:eastAsia="Cambria" w:hAnsi="Cambria"/>
          <w:sz w:val="20"/>
          <w:szCs w:val="20"/>
        </w:rPr>
        <w:t xml:space="preserve">The saturation tier is scored by D0 and D2 only. Judging 24 constraints × 1,225 pairs × 7 models would require roughly 137,000 judgements, and the budget curve requires only that the detector be held constant across k, not that it be D3.</w:t>
      </w:r>
    </w:p>
    <w:p>
      <w:pPr>
        <w:pStyle w:val="Heading3"/>
        <w:spacing w:after="90" w:before="200"/>
      </w:pPr>
      <w:r>
        <w:rPr>
          <w:rFonts w:ascii="Calibri" w:cs="Calibri" w:eastAsia="Calibri" w:hAnsi="Calibri"/>
          <w:b/>
          <w:bCs/>
          <w:color w:val="2E4A7D"/>
          <w:sz w:val="20"/>
          <w:szCs w:val="20"/>
        </w:rPr>
        <w:t xml:space="preserve">4.8.6 D4 — distributional instability (exploratory)</w:t>
      </w:r>
    </w:p>
    <w:p>
      <w:pPr>
        <w:spacing w:after="130" w:line="280"/>
        <w:jc w:val="both"/>
      </w:pPr>
      <w:r>
        <w:rPr>
          <w:rFonts w:ascii="Cambria" w:cs="Cambria" w:eastAsia="Cambria" w:hAnsi="Cambria"/>
          <w:sz w:val="20"/>
          <w:szCs w:val="20"/>
        </w:rPr>
        <w:t xml:space="preserve">For each probe, candidate answers from the constraint's known answer set are teacher-forced and the model's probability distribution over candidates is read off. Instability is the mean pairwise Jensen–Shannon divergence across the K paraphrase distributions. This is </w:t>
      </w:r>
      <w:r>
        <w:rPr>
          <w:rFonts w:ascii="Cambria" w:cs="Cambria" w:eastAsia="Cambria" w:hAnsi="Cambria"/>
          <w:b/>
          <w:bCs/>
          <w:i w:val="false"/>
          <w:iCs w:val="false"/>
          <w:sz w:val="20"/>
          <w:szCs w:val="20"/>
        </w:rPr>
        <w:t xml:space="preserve">not a contradiction detector</w:t>
      </w:r>
      <w:r>
        <w:rPr>
          <w:rFonts w:ascii="Cambria" w:cs="Cambria" w:eastAsia="Cambria" w:hAnsi="Cambria"/>
          <w:sz w:val="20"/>
          <w:szCs w:val="20"/>
        </w:rPr>
        <w:t xml:space="preserve"> and is never reported as one: two distributions can differ substantially while agreeing on the top answer, and can be nearly identical while straddling a decision boundary.</w:t>
      </w:r>
    </w:p>
    <w:p>
      <w:pPr>
        <w:spacing w:after="130" w:line="280"/>
        <w:jc w:val="both"/>
      </w:pPr>
      <w:r>
        <w:rPr>
          <w:rFonts w:ascii="Cambria" w:cs="Cambria" w:eastAsia="Cambria" w:hAnsi="Cambria"/>
          <w:sz w:val="20"/>
          <w:szCs w:val="20"/>
        </w:rPr>
        <w:t xml:space="preserve">The research question D4 addresses is distinct and worth asking: does inconsistency appear only at the decoding layer, or is it already visible in the output distribution? A model at 51/49 between mutually exclusive answers presents a reliability problem that greedy decoding conceals entirely.</w:t>
      </w:r>
    </w:p>
    <w:p>
      <w:pPr>
        <w:pStyle w:val="ListParagraph"/>
        <w:numPr>
          <w:ilvl w:val="0"/>
          <w:numId w:val="2"/>
        </w:numPr>
        <w:spacing w:after="70" w:line="280"/>
      </w:pPr>
      <w:r>
        <w:rPr>
          <w:rFonts w:ascii="Cambria" w:cs="Cambria" w:eastAsia="Cambria" w:hAnsi="Cambria"/>
          <w:b/>
          <w:bCs/>
          <w:i w:val="false"/>
          <w:iCs w:val="false"/>
          <w:sz w:val="20"/>
          <w:szCs w:val="20"/>
        </w:rPr>
        <w:t xml:space="preserve">Precedent. </w:t>
      </w:r>
      <w:r>
        <w:rPr>
          <w:rFonts w:ascii="Cambria" w:cs="Cambria" w:eastAsia="Cambria" w:hAnsi="Cambria"/>
          <w:sz w:val="20"/>
          <w:szCs w:val="20"/>
        </w:rPr>
        <w:t xml:space="preserve">Jensen–Shannon divergence over response distributions as a consistency measure is established (Tsujimura et al., ACL 2026). The contribution here is the application to meaning-preserving paraphrases over knowledge-grounded constraints, not the measure, and the related work will say so.</w:t>
      </w:r>
    </w:p>
    <w:p>
      <w:pPr>
        <w:pStyle w:val="ListParagraph"/>
        <w:numPr>
          <w:ilvl w:val="0"/>
          <w:numId w:val="2"/>
        </w:numPr>
        <w:spacing w:after="70" w:line="280"/>
      </w:pPr>
      <w:r>
        <w:rPr>
          <w:rFonts w:ascii="Cambria" w:cs="Cambria" w:eastAsia="Cambria" w:hAnsi="Cambria"/>
          <w:b/>
          <w:bCs/>
          <w:i w:val="false"/>
          <w:iCs w:val="false"/>
          <w:sz w:val="20"/>
          <w:szCs w:val="20"/>
        </w:rPr>
        <w:t xml:space="preserve">Scope limits. </w:t>
      </w:r>
      <w:r>
        <w:rPr>
          <w:rFonts w:ascii="Cambria" w:cs="Cambria" w:eastAsia="Cambria" w:hAnsi="Cambria"/>
          <w:sz w:val="20"/>
          <w:szCs w:val="20"/>
        </w:rPr>
        <w:t xml:space="preserve">Requires a defined candidate set, so D4 applies to Track A only. Candidate sequences are length-normalised to per-token log-probability, since raw sequence probabilities are biased by answer length. Divergence is aggregated within constraints and is not compared in absolute terms across constraints with dissimilar candidate spaces.</w:t>
      </w:r>
    </w:p>
    <w:p>
      <w:pPr>
        <w:pStyle w:val="ListParagraph"/>
        <w:numPr>
          <w:ilvl w:val="0"/>
          <w:numId w:val="2"/>
        </w:numPr>
        <w:spacing w:after="70" w:line="280"/>
      </w:pPr>
      <w:r>
        <w:rPr>
          <w:rFonts w:ascii="Cambria" w:cs="Cambria" w:eastAsia="Cambria" w:hAnsi="Cambria"/>
          <w:b/>
          <w:bCs/>
          <w:i w:val="false"/>
          <w:iCs w:val="false"/>
          <w:sz w:val="20"/>
          <w:szCs w:val="20"/>
        </w:rPr>
        <w:t xml:space="preserve">Interpretation limit. </w:t>
      </w:r>
      <w:r>
        <w:rPr>
          <w:rFonts w:ascii="Cambria" w:cs="Cambria" w:eastAsia="Cambria" w:hAnsi="Cambria"/>
          <w:sz w:val="20"/>
          <w:szCs w:val="20"/>
        </w:rPr>
        <w:t xml:space="preserve">Logits are a prompt-conditioned output distribution computed by the full forward pass. They are not a readout of stored parametric knowledge and will not be described as one.</w:t>
      </w:r>
    </w:p>
    <w:p>
      <w:pPr>
        <w:pStyle w:val="Heading2"/>
        <w:spacing w:after="110" w:before="260"/>
      </w:pPr>
      <w:r>
        <w:rPr>
          <w:rFonts w:ascii="Calibri" w:cs="Calibri" w:eastAsia="Calibri" w:hAnsi="Calibri"/>
          <w:b/>
          <w:bCs/>
          <w:color w:val="1F3864"/>
          <w:sz w:val="23"/>
          <w:szCs w:val="23"/>
        </w:rPr>
        <w:t xml:space="preserve">4.9 Human annotation</w:t>
      </w:r>
    </w:p>
    <w:p>
      <w:pPr>
        <w:spacing w:after="130" w:line="280"/>
        <w:jc w:val="both"/>
      </w:pPr>
      <w:r>
        <w:rPr>
          <w:rFonts w:ascii="Cambria" w:cs="Cambria" w:eastAsia="Cambria" w:hAnsi="Cambria"/>
          <w:b/>
          <w:bCs/>
          <w:i w:val="false"/>
          <w:iCs w:val="false"/>
          <w:sz w:val="20"/>
          <w:szCs w:val="20"/>
        </w:rPr>
        <w:t xml:space="preserve">Two separate samples, analysed separately.</w:t>
      </w:r>
      <w:r>
        <w:rPr>
          <w:rFonts w:ascii="Cambria" w:cs="Cambria" w:eastAsia="Cambria" w:hAnsi="Cambria"/>
          <w:sz w:val="20"/>
          <w:szCs w:val="20"/>
        </w:rPr>
        <w:t xml:space="preserve"> An enriched sample oversampling detector disagreements is the right instrument for detector evaluation but cannot estimate prevalence without weighting; a representative sample can estimate prevalence but contains too few positives for efficient detector evaluation. Blending them yields a sample that does neither job correctly.</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1400"/>
        <w:gridCol w:w="5426"/>
      </w:tblGrid>
      <w:tr>
        <w:trPr>
          <w:tblHeader/>
        </w:trPr>
        <w:tc>
          <w:tcPr>
            <w:tcW w:type="dxa" w:w="22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Sample</w:t>
            </w:r>
          </w:p>
        </w:tc>
        <w:tc>
          <w:tcPr>
            <w:tcW w:type="dxa" w:w="14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Size</w:t>
            </w:r>
          </w:p>
        </w:tc>
        <w:tc>
          <w:tcPr>
            <w:tcW w:type="dxa" w:w="5426"/>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Purpose and composition</w:t>
            </w:r>
          </w:p>
        </w:tc>
      </w:tr>
      <w:tr>
        <w:tc>
          <w:tcPr>
            <w:tcW w:type="dxa" w:w="22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A — Representative</w:t>
            </w:r>
          </w:p>
        </w:tc>
        <w:tc>
          <w:tcPr>
            <w:tcW w:type="dxa" w:w="14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~400 pairs</w:t>
            </w:r>
          </w:p>
        </w:tc>
        <w:tc>
          <w:tcPr>
            <w:tcW w:type="dxa" w:w="54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Pure random probability sample, stratified by class and model. Supports unbiased prevalence estimation and the detector-correction sensitivity analysis.</w:t>
            </w:r>
          </w:p>
        </w:tc>
      </w:tr>
      <w:tr>
        <w:tc>
          <w:tcPr>
            <w:tcW w:type="dxa" w:w="22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B — Enriched</w:t>
            </w:r>
          </w:p>
        </w:tc>
        <w:tc>
          <w:tcPr>
            <w:tcW w:type="dxa" w:w="14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~300 pairs</w:t>
            </w:r>
          </w:p>
        </w:tc>
        <w:tc>
          <w:tcPr>
            <w:tcW w:type="dxa" w:w="54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Oversamples detector disagreements, suspected contradictions, unclear cases and difficult C3/C4 items. Supports detector precision and recall estimation. Final size fixed after the pilot reveals contradiction prevalence.</w:t>
            </w:r>
          </w:p>
        </w:tc>
      </w:tr>
    </w:tbl>
    <w:p>
      <w:pPr>
        <w:spacing w:after="160"/>
      </w:pPr>
    </w:p>
    <w:p>
      <w:pPr>
        <w:spacing w:after="130" w:line="280"/>
        <w:jc w:val="both"/>
      </w:pPr>
      <w:r>
        <w:rPr>
          <w:rFonts w:ascii="Cambria" w:cs="Cambria" w:eastAsia="Cambria" w:hAnsi="Cambria"/>
          <w:b/>
          <w:bCs/>
          <w:i w:val="false"/>
          <w:iCs w:val="false"/>
          <w:sz w:val="20"/>
          <w:szCs w:val="20"/>
        </w:rPr>
        <w:t xml:space="preserve">Annotation unit is the response pair.</w:t>
      </w:r>
      <w:r>
        <w:rPr>
          <w:rFonts w:ascii="Cambria" w:cs="Cambria" w:eastAsia="Cambria" w:hAnsi="Cambria"/>
          <w:sz w:val="20"/>
          <w:szCs w:val="20"/>
        </w:rPr>
        <w:t xml:space="preserve"> Annotators see only the constraint, probe A with response A, and probe B with response B. Model identity, detector prediction, constraint class and expected outcome are all withheld.</w:t>
      </w:r>
    </w:p>
    <w:p>
      <w:pPr>
        <w:spacing w:after="130" w:line="280"/>
        <w:jc w:val="both"/>
      </w:pPr>
      <w:r>
        <w:rPr>
          <w:rFonts w:ascii="Cambria" w:cs="Cambria" w:eastAsia="Cambria" w:hAnsi="Cambria"/>
          <w:b/>
          <w:bCs/>
          <w:i w:val="false"/>
          <w:iCs w:val="false"/>
          <w:sz w:val="20"/>
          <w:szCs w:val="20"/>
        </w:rPr>
        <w:t xml:space="preserve">Labels per pair: </w:t>
      </w:r>
      <w:r>
        <w:rPr>
          <w:rFonts w:ascii="Cambria" w:cs="Cambria" w:eastAsia="Cambria" w:hAnsi="Cambria"/>
          <w:sz w:val="20"/>
          <w:szCs w:val="20"/>
        </w:rPr>
        <w:t xml:space="preserve">relation ∈ {compatible, contradictory, unclear}; correctness of A and of B ∈ {correct, incorrect, unclear}; response status ∈ {answer, abstain}; and, where a contradiction is marked, a reason drawn from a predefined failure taxonomy.</w:t>
      </w:r>
    </w:p>
    <w:p>
      <w:pPr>
        <w:spacing w:after="130" w:line="280"/>
        <w:jc w:val="both"/>
      </w:pPr>
      <w:r>
        <w:rPr>
          <w:rFonts w:ascii="Cambria" w:cs="Cambria" w:eastAsia="Cambria" w:hAnsi="Cambria"/>
          <w:b/>
          <w:bCs/>
          <w:i w:val="false"/>
          <w:iCs w:val="false"/>
          <w:sz w:val="20"/>
          <w:szCs w:val="20"/>
        </w:rPr>
        <w:t xml:space="preserve">Two annotators with adjudication of disagreements.</w:t>
      </w:r>
      <w:r>
        <w:rPr>
          <w:rFonts w:ascii="Cambria" w:cs="Cambria" w:eastAsia="Cambria" w:hAnsi="Cambria"/>
          <w:sz w:val="20"/>
          <w:szCs w:val="20"/>
        </w:rPr>
        <w:t xml:space="preserve"> Krippendorff's α is reported alongside raw agreement, contradiction prevalence and the confusion matrix, and per class as well as overall. Cohen's κ behaves poorly when one class dominates, which it will here.</w:t>
      </w:r>
    </w:p>
    <w:p>
      <w:pPr>
        <w:pStyle w:val="Heading2"/>
        <w:spacing w:after="110" w:before="260"/>
      </w:pPr>
      <w:r>
        <w:rPr>
          <w:rFonts w:ascii="Calibri" w:cs="Calibri" w:eastAsia="Calibri" w:hAnsi="Calibri"/>
          <w:b/>
          <w:bCs/>
          <w:color w:val="1F3864"/>
          <w:sz w:val="23"/>
          <w:szCs w:val="23"/>
        </w:rPr>
        <w:t xml:space="preserve">4.10 Metrics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4500"/>
        <w:gridCol w:w="2526"/>
      </w:tblGrid>
      <w:tr>
        <w:trPr>
          <w:tblHeader/>
        </w:trPr>
        <w:tc>
          <w:tcPr>
            <w:tcW w:type="dxa" w:w="20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Metric</w:t>
            </w:r>
          </w:p>
        </w:tc>
        <w:tc>
          <w:tcPr>
            <w:tcW w:type="dxa" w:w="45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Definition</w:t>
            </w:r>
          </w:p>
        </w:tc>
        <w:tc>
          <w:tcPr>
            <w:tcW w:type="dxa" w:w="2526"/>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Role</w:t>
            </w:r>
          </w:p>
        </w:tc>
      </w:tr>
      <w:tr>
        <w:tc>
          <w:tcPr>
            <w:tcW w:type="dxa" w:w="20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PSCR</w:t>
            </w:r>
          </w:p>
        </w:tc>
        <w:tc>
          <w:tcPr>
            <w:tcW w:type="dxa" w:w="45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Contradictory probe pairs ÷ evaluable probe pairs, per constraint per model</w:t>
            </w:r>
          </w:p>
        </w:tc>
        <w:tc>
          <w:tcPr>
            <w:tcW w:type="dxa" w:w="25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Primary inconsistency metric</w:t>
            </w:r>
          </w:p>
        </w:tc>
      </w:tr>
      <w:tr>
        <w:tc>
          <w:tcPr>
            <w:tcW w:type="dxa" w:w="20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PCS</w:t>
            </w:r>
          </w:p>
        </w:tc>
        <w:tc>
          <w:tcPr>
            <w:tcW w:type="dxa" w:w="45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Largest canonical-answer cluster ÷ K — closed-answer subset only</w:t>
            </w:r>
          </w:p>
        </w:tc>
        <w:tc>
          <w:tcPr>
            <w:tcW w:type="dxa" w:w="25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Key secondary; diagnostic complement to PSCR</w:t>
            </w:r>
          </w:p>
        </w:tc>
      </w:tr>
      <w:tr>
        <w:tc>
          <w:tcPr>
            <w:tcW w:type="dxa" w:w="20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Consistency@K</w:t>
            </w:r>
          </w:p>
        </w:tc>
        <w:tc>
          <w:tcPr>
            <w:tcW w:type="dxa" w:w="45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Proportion of constraints with no contradiction among K probes</w:t>
            </w:r>
          </w:p>
        </w:tc>
        <w:tc>
          <w:tcPr>
            <w:tcW w:type="dxa" w:w="25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Secondary, practical interpretation</w:t>
            </w:r>
          </w:p>
        </w:tc>
      </w:tr>
      <w:tr>
        <w:tc>
          <w:tcPr>
            <w:tcW w:type="dxa" w:w="20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AOCR</w:t>
            </w:r>
          </w:p>
        </w:tc>
        <w:tc>
          <w:tcPr>
            <w:tcW w:type="dxa" w:w="45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Proportion of constraints with at least one contradiction detected</w:t>
            </w:r>
          </w:p>
        </w:tc>
        <w:tc>
          <w:tcPr>
            <w:tcW w:type="dxa" w:w="25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Secondary — explicitly labelled K-dependent</w:t>
            </w:r>
          </w:p>
        </w:tc>
      </w:tr>
      <w:tr>
        <w:tc>
          <w:tcPr>
            <w:tcW w:type="dxa" w:w="20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Truth Accuracy</w:t>
            </w:r>
          </w:p>
        </w:tc>
        <w:tc>
          <w:tcPr>
            <w:tcW w:type="dxa" w:w="45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Proportion of responses matching knowledge-base ground truth</w:t>
            </w:r>
          </w:p>
        </w:tc>
        <w:tc>
          <w:tcPr>
            <w:tcW w:type="dxa" w:w="25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Separate reliability dimension</w:t>
            </w:r>
          </w:p>
        </w:tc>
      </w:tr>
      <w:tr>
        <w:tc>
          <w:tcPr>
            <w:tcW w:type="dxa" w:w="20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Abstention Rate</w:t>
            </w:r>
          </w:p>
        </w:tc>
        <w:tc>
          <w:tcPr>
            <w:tcW w:type="dxa" w:w="45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Proportion of responses labelled ABSTAIN</w:t>
            </w:r>
          </w:p>
        </w:tc>
        <w:tc>
          <w:tcPr>
            <w:tcW w:type="dxa" w:w="25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Separate reliability dimension</w:t>
            </w:r>
          </w:p>
        </w:tc>
      </w:tr>
      <w:tr>
        <w:tc>
          <w:tcPr>
            <w:tcW w:type="dxa" w:w="20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Recovery@k</w:t>
            </w:r>
          </w:p>
        </w:tc>
        <w:tc>
          <w:tcPr>
            <w:tcW w:type="dxa" w:w="45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Violations recovered with k probes ÷ violations recovered at the reference budget</w:t>
            </w:r>
          </w:p>
        </w:tc>
        <w:tc>
          <w:tcPr>
            <w:tcW w:type="dxa" w:w="25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Probe-efficiency curve</w:t>
            </w:r>
          </w:p>
        </w:tc>
      </w:tr>
      <w:tr>
        <w:tc>
          <w:tcPr>
            <w:tcW w:type="dxa" w:w="20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D0 coverage</w:t>
            </w:r>
          </w:p>
        </w:tc>
        <w:tc>
          <w:tcPr>
            <w:tcW w:type="dxa" w:w="45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Proportion of constraints per class admitting deterministic verification</w:t>
            </w:r>
          </w:p>
        </w:tc>
        <w:tc>
          <w:tcPr>
            <w:tcW w:type="dxa" w:w="25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Verifiability result</w:t>
            </w:r>
          </w:p>
        </w:tc>
      </w:tr>
      <w:tr>
        <w:tc>
          <w:tcPr>
            <w:tcW w:type="dxa" w:w="20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Detector P/R/F1, AUPRC</w:t>
            </w:r>
          </w:p>
        </w:tc>
        <w:tc>
          <w:tcPr>
            <w:tcW w:type="dxa" w:w="45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Per detector, per constraint class, against human gold</w:t>
            </w:r>
          </w:p>
        </w:tc>
        <w:tc>
          <w:tcPr>
            <w:tcW w:type="dxa" w:w="25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Detector reliability (RQ4)</w:t>
            </w:r>
          </w:p>
        </w:tc>
      </w:tr>
      <w:tr>
        <w:tc>
          <w:tcPr>
            <w:tcW w:type="dxa" w:w="20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Krippendorff's α</w:t>
            </w:r>
          </w:p>
        </w:tc>
        <w:tc>
          <w:tcPr>
            <w:tcW w:type="dxa" w:w="45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Inter-annotator agreement</w:t>
            </w:r>
          </w:p>
        </w:tc>
        <w:tc>
          <w:tcPr>
            <w:tcW w:type="dxa" w:w="25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Annotation quality only — not detector quality</w:t>
            </w:r>
          </w:p>
        </w:tc>
      </w:tr>
    </w:tbl>
    <w:p>
      <w:pPr>
        <w:spacing w:after="160"/>
      </w:pPr>
    </w:p>
    <w:p>
      <w:pPr>
        <w:spacing w:after="130" w:line="280"/>
        <w:jc w:val="both"/>
      </w:pPr>
      <w:r>
        <w:rPr>
          <w:rFonts w:ascii="Cambria" w:cs="Cambria" w:eastAsia="Cambria" w:hAnsi="Cambria"/>
          <w:b/>
          <w:bCs/>
          <w:i w:val="false"/>
          <w:iCs w:val="false"/>
          <w:sz w:val="20"/>
          <w:szCs w:val="20"/>
        </w:rPr>
        <w:t xml:space="preserve">Why PCS accompanies PSCR. </w:t>
      </w:r>
      <w:r>
        <w:rPr>
          <w:rFonts w:ascii="Cambria" w:cs="Cambria" w:eastAsia="Cambria" w:hAnsi="Cambria"/>
          <w:sz w:val="20"/>
          <w:szCs w:val="20"/>
        </w:rPr>
        <w:t xml:space="preserve">A single scalar cannot distinguish the shapes of inconsistency, and the two metrics diverge diagnostically. With K = 8, a model splitting four answers each way yields PSCR ≈ 0.57 and PCS = 0.50; a model giving seven agreements plus one outlier yields PSCR = 0.25 and PCS = 0.88; a model giving eight distinct answers yields PSCR = 1.00 and PCS = 0.13. Reported together they separate bimodal disagreement from a single outlier from scattered incoherence, which PSCR alone cannot. </w:t>
      </w:r>
      <w:r>
        <w:rPr>
          <w:rFonts w:ascii="Cambria" w:cs="Cambria" w:eastAsia="Cambria" w:hAnsi="Cambria"/>
          <w:b/>
          <w:bCs/>
          <w:i w:val="false"/>
          <w:iCs w:val="false"/>
          <w:sz w:val="20"/>
          <w:szCs w:val="20"/>
        </w:rPr>
        <w:t xml:space="preserve">PCS is scoped to the closed-answer subset</w:t>
      </w:r>
      <w:r>
        <w:rPr>
          <w:rFonts w:ascii="Cambria" w:cs="Cambria" w:eastAsia="Cambria" w:hAnsi="Cambria"/>
          <w:sz w:val="20"/>
          <w:szCs w:val="20"/>
        </w:rPr>
        <w:t xml:space="preserve"> — those constraints where Stage 0 assigns discrete canonical labels and clustering is equality of answer. It is not defined in the general case, because pairwise semantic contradiction judgements are not transitive: if A and B are compatible and B and C are compatible while A and C contradict, no valid partition of the responses exists. PSCR therefore remains the single primary endpoint, and PCS is a key secondary rather than a co-primary, so that the confirmatory inference is not multiplied across endpoints.</w:t>
      </w:r>
    </w:p>
    <w:p>
      <w:pPr>
        <w:spacing w:after="130" w:line="280"/>
        <w:jc w:val="both"/>
      </w:pPr>
      <w:r>
        <w:rPr>
          <w:rFonts w:ascii="Cambria" w:cs="Cambria" w:eastAsia="Cambria" w:hAnsi="Cambria"/>
          <w:b/>
          <w:bCs/>
          <w:i w:val="false"/>
          <w:iCs w:val="false"/>
          <w:sz w:val="20"/>
          <w:szCs w:val="20"/>
        </w:rPr>
        <w:t xml:space="preserve">Why AOCR is demoted. </w:t>
      </w:r>
      <w:r>
        <w:rPr>
          <w:rFonts w:ascii="Cambria" w:cs="Cambria" w:eastAsia="Cambria" w:hAnsi="Cambria"/>
          <w:sz w:val="20"/>
          <w:szCs w:val="20"/>
        </w:rPr>
        <w:t xml:space="preserve">The original proposal's constraint violation rate marked a constraint violated if any pair was flagged. With K probes there are C(K,2) pairs, so under an independence approximation AOCR ≈ 1 − (1 − PSCR)^C(K,2). At K = 10 that is 45 pairs: a detector false-positive rate of just 2% on a perfectly consistent model yields AOCR ≈ 0.60, and a true per-pair rate of 5% yields ≈ 0.90. The metric would have measured the detector rather than the model and would have saturated near 1.0 at every class. It is retained only as a secondary, K-labelled descriptive statistic.</w:t>
      </w:r>
    </w:p>
    <w:p>
      <w:pPr>
        <w:spacing w:after="130" w:line="280"/>
        <w:jc w:val="both"/>
      </w:pPr>
      <w:r>
        <w:rPr>
          <w:rFonts w:ascii="Cambria" w:cs="Cambria" w:eastAsia="Cambria" w:hAnsi="Cambria"/>
          <w:b/>
          <w:bCs/>
          <w:i w:val="false"/>
          <w:iCs w:val="false"/>
          <w:sz w:val="20"/>
          <w:szCs w:val="20"/>
        </w:rPr>
        <w:t xml:space="preserve">Why Recovery@k replaces DR@k. </w:t>
      </w:r>
      <w:r>
        <w:rPr>
          <w:rFonts w:ascii="Cambria" w:cs="Cambria" w:eastAsia="Cambria" w:hAnsi="Cambria"/>
          <w:sz w:val="20"/>
          <w:szCs w:val="20"/>
        </w:rPr>
        <w:t xml:space="preserve">Detection rate against “known violations” is circular without an independent violation oracle. Recovery@k is computed by subsampling probe subsets of size k and measuring recovery relative to the full reference budget, in the manner of a rarefaction curve. The reference budget is the K = 50 tier on the saturation subset and the K = 8 tier elsewhere; it is described as a reference, never as ground truth or a proven asymptote.</w:t>
      </w:r>
    </w:p>
    <w:p>
      <w:pPr>
        <w:spacing w:after="130" w:line="280"/>
        <w:jc w:val="both"/>
      </w:pPr>
      <w:r>
        <w:rPr>
          <w:rFonts w:ascii="Cambria" w:cs="Cambria" w:eastAsia="Cambria" w:hAnsi="Cambria"/>
          <w:b/>
          <w:bCs/>
          <w:i w:val="false"/>
          <w:iCs w:val="false"/>
          <w:sz w:val="20"/>
          <w:szCs w:val="20"/>
        </w:rPr>
        <w:t xml:space="preserve">The reliability triad. </w:t>
      </w:r>
      <w:r>
        <w:rPr>
          <w:rFonts w:ascii="Cambria" w:cs="Cambria" w:eastAsia="Cambria" w:hAnsi="Cambria"/>
          <w:sz w:val="20"/>
          <w:szCs w:val="20"/>
        </w:rPr>
        <w:t xml:space="preserve">Truth Accuracy, PSCR and Abstention Rate are reported jointly and never collapsed. A model that abstains on everything would otherwise score as maximally consistent. A 2×2 of accuracy against consistency separates the desirable case from consistent hallucination, from prompt-sensitive knowledge, from combined failure — a distinction most consistency benchmarks conflate.</w:t>
      </w:r>
    </w:p>
    <w:p>
      <w:pPr>
        <w:pStyle w:val="Heading2"/>
        <w:spacing w:after="110" w:before="260"/>
      </w:pPr>
      <w:r>
        <w:rPr>
          <w:rFonts w:ascii="Calibri" w:cs="Calibri" w:eastAsia="Calibri" w:hAnsi="Calibri"/>
          <w:b/>
          <w:bCs/>
          <w:color w:val="1F3864"/>
          <w:sz w:val="23"/>
          <w:szCs w:val="23"/>
        </w:rPr>
        <w:t xml:space="preserve">4.11 Statistical analysis</w:t>
      </w:r>
    </w:p>
    <w:p>
      <w:pPr>
        <w:spacing w:after="130" w:line="280"/>
        <w:jc w:val="both"/>
      </w:pPr>
      <w:r>
        <w:rPr>
          <w:rFonts w:ascii="Cambria" w:cs="Cambria" w:eastAsia="Cambria" w:hAnsi="Cambria"/>
          <w:b/>
          <w:bCs/>
          <w:i w:val="false"/>
          <w:iCs w:val="false"/>
          <w:sz w:val="20"/>
          <w:szCs w:val="20"/>
        </w:rPr>
        <w:t xml:space="preserve">The independent unit is the constraint, not the probe pair.</w:t>
      </w:r>
      <w:r>
        <w:rPr>
          <w:rFonts w:ascii="Cambria" w:cs="Cambria" w:eastAsia="Cambria" w:hAnsi="Cambria"/>
          <w:sz w:val="20"/>
          <w:szCs w:val="20"/>
        </w:rPr>
        <w:t xml:space="preserve"> Pairs (A,B) and (A,C) share response A, so pair-level observations carry dependence beyond sharing a constraint and a pair-level model assuming conditional independence would be misspecified. With K = 8 the effective information content is closer to 8 responses than to 28 pairs.</w:t>
      </w:r>
    </w:p>
    <w:p>
      <w:pPr>
        <w:spacing w:after="130" w:line="280"/>
        <w:jc w:val="both"/>
      </w:pPr>
      <w:r>
        <w:rPr>
          <w:rFonts w:ascii="Cambria" w:cs="Cambria" w:eastAsia="Cambria" w:hAnsi="Cambria"/>
          <w:b/>
          <w:bCs/>
          <w:i w:val="false"/>
          <w:iCs w:val="false"/>
          <w:sz w:val="20"/>
          <w:szCs w:val="20"/>
        </w:rPr>
        <w:t xml:space="preserve">Primary inference — cluster bootstrap.</w:t>
      </w:r>
      <w:r>
        <w:rPr>
          <w:rFonts w:ascii="Cambria" w:cs="Cambria" w:eastAsia="Cambria" w:hAnsi="Cambria"/>
          <w:sz w:val="20"/>
          <w:szCs w:val="20"/>
        </w:rPr>
        <w:t xml:space="preserve"> The confirmatory contrast is tested by a cluster bootstrap resampling constraints with replacement. Constraints are the genuinely independent unit, and the bootstrap makes no parametric assumption about the within-constraint dependence structure, so it remains valid precisely where a pair-count denominator would overstate the information available. All confirmatory intervals and p-values come from this procedure.</w:t>
      </w:r>
    </w:p>
    <w:p>
      <w:pPr>
        <w:spacing w:after="130" w:line="280"/>
        <w:jc w:val="both"/>
      </w:pPr>
      <w:r>
        <w:rPr>
          <w:rFonts w:ascii="Cambria" w:cs="Cambria" w:eastAsia="Cambria" w:hAnsi="Cambria"/>
          <w:b/>
          <w:bCs/>
          <w:i w:val="false"/>
          <w:iCs w:val="false"/>
          <w:sz w:val="20"/>
          <w:szCs w:val="20"/>
        </w:rPr>
        <w:t xml:space="preserve">Secondary inference — beta-binomial mixed model.</w:t>
      </w:r>
      <w:r>
        <w:rPr>
          <w:rFonts w:ascii="Cambria" w:cs="Cambria" w:eastAsia="Cambria" w:hAnsi="Cambria"/>
          <w:sz w:val="20"/>
          <w:szCs w:val="20"/>
        </w:rPr>
        <w:t xml:space="preserve"> A bootstrap on a difference in means cannot deliver covariate adjustment, interaction terms or a variance partition across schema and domain. For those analyses, constraint × model PSCR is fitted as a beta-binomial mixed model on contradictory / evaluable pair counts, with overdispersion absorbing residual pair dependence:</w:t>
      </w:r>
    </w:p>
    <w:p>
      <w:pPr>
        <w:spacing w:after="0" w:line="250"/>
        <w:ind w:left="360"/>
      </w:pPr>
      <w:r>
        <w:rPr>
          <w:rFonts w:ascii="Consolas" w:cs="Consolas" w:eastAsia="Consolas" w:hAnsi="Consolas"/>
          <w:color w:val="333333"/>
          <w:sz w:val="17"/>
          <w:szCs w:val="17"/>
        </w:rPr>
        <w:t xml:space="preserve">contradictions / evaluable_pairs  ~  class * model_family</w:t>
      </w:r>
    </w:p>
    <w:p>
      <w:pPr>
        <w:spacing w:after="0" w:line="250"/>
        <w:ind w:left="360"/>
      </w:pPr>
      <w:r>
        <w:rPr>
          <w:rFonts w:ascii="Consolas" w:cs="Consolas" w:eastAsia="Consolas" w:hAnsi="Consolas"/>
          <w:color w:val="333333"/>
          <w:sz w:val="17"/>
          <w:szCs w:val="17"/>
        </w:rPr>
        <w:t xml:space="preserve">                                   + log(entity_sitelinks)</w:t>
      </w:r>
    </w:p>
    <w:p>
      <w:pPr>
        <w:spacing w:after="0" w:line="250"/>
        <w:ind w:left="360"/>
      </w:pPr>
      <w:r>
        <w:rPr>
          <w:rFonts w:ascii="Consolas" w:cs="Consolas" w:eastAsia="Consolas" w:hAnsi="Consolas"/>
          <w:color w:val="333333"/>
          <w:sz w:val="17"/>
          <w:szCs w:val="17"/>
        </w:rPr>
        <w:t xml:space="preserve">                                   + probe_polarity + probe_syntax + probe_direction</w:t>
      </w:r>
    </w:p>
    <w:p>
      <w:pPr>
        <w:spacing w:after="0" w:line="250"/>
        <w:ind w:left="360"/>
      </w:pPr>
      <w:r>
        <w:rPr>
          <w:rFonts w:ascii="Consolas" w:cs="Consolas" w:eastAsia="Consolas" w:hAnsi="Consolas"/>
          <w:color w:val="333333"/>
          <w:sz w:val="17"/>
          <w:szCs w:val="17"/>
        </w:rPr>
        <w:t xml:space="preserve">                                   + (1 | schema/constraint)</w:t>
      </w:r>
    </w:p>
    <w:p>
      <w:pPr>
        <w:spacing w:after="150" w:line="250"/>
        <w:ind w:left="360"/>
      </w:pPr>
      <w:r>
        <w:rPr>
          <w:rFonts w:ascii="Consolas" w:cs="Consolas" w:eastAsia="Consolas" w:hAnsi="Consolas"/>
          <w:color w:val="333333"/>
          <w:sz w:val="17"/>
          <w:szCs w:val="17"/>
        </w:rPr>
        <w:t xml:space="preserve">                                   + (1 | domain)</w:t>
      </w:r>
    </w:p>
    <w:p>
      <w:pPr>
        <w:spacing w:after="130" w:line="280"/>
        <w:jc w:val="both"/>
      </w:pPr>
      <w:r>
        <w:rPr>
          <w:rFonts w:ascii="Cambria" w:cs="Cambria" w:eastAsia="Cambria" w:hAnsi="Cambria"/>
          <w:sz w:val="20"/>
          <w:szCs w:val="20"/>
        </w:rPr>
        <w:t xml:space="preserve">The two procedures are complementary rather than competing: the bootstrap carries the confirmatory claim because it is assumption-light, and the model carries the secondary and exploratory analyses because it is the only one of the two that can express them. Where they disagree on a quantity both can estimate, the bootstrap governs and the discrepancy is reported.</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6626"/>
      </w:tblGrid>
      <w:tr>
        <w:trPr>
          <w:tblHeader/>
        </w:trPr>
        <w:tc>
          <w:tcPr>
            <w:tcW w:type="dxa" w:w="24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Tier</w:t>
            </w:r>
          </w:p>
        </w:tc>
        <w:tc>
          <w:tcPr>
            <w:tcW w:type="dxa" w:w="6626"/>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Test and procedure</w:t>
            </w:r>
          </w:p>
        </w:tc>
      </w:tr>
      <w:tr>
        <w:tc>
          <w:tcPr>
            <w:tcW w:type="dxa" w:w="24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Confirmatory</w:t>
            </w:r>
          </w:p>
        </w:tc>
        <w:tc>
          <w:tcPr>
            <w:tcW w:type="dxa" w:w="66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C1+C2 versus C3+C4 (60 constraints per arm) — cluster bootstrap over constraints</w:t>
            </w:r>
          </w:p>
        </w:tc>
      </w:tr>
      <w:tr>
        <w:tc>
          <w:tcPr>
            <w:tcW w:type="dxa" w:w="24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Planned contrast</w:t>
            </w:r>
          </w:p>
        </w:tc>
        <w:tc>
          <w:tcPr>
            <w:tcW w:type="dxa" w:w="66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C4 versus C1–C3 pooled — cluster bootstrap over constraints</w:t>
            </w:r>
          </w:p>
        </w:tc>
      </w:tr>
      <w:tr>
        <w:tc>
          <w:tcPr>
            <w:tcW w:type="dxa" w:w="24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Descriptive</w:t>
            </w:r>
          </w:p>
        </w:tc>
        <w:tc>
          <w:tcPr>
            <w:tcW w:type="dxa" w:w="66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Individual class estimates with cluster-bootstrap intervals</w:t>
            </w:r>
          </w:p>
        </w:tc>
      </w:tr>
      <w:tr>
        <w:tc>
          <w:tcPr>
            <w:tcW w:type="dxa" w:w="24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Secondary (model-based)</w:t>
            </w:r>
          </w:p>
        </w:tc>
        <w:tc>
          <w:tcPr>
            <w:tcW w:type="dxa" w:w="66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Class × model-family interaction; sitelink and probe-factor adjustment; schema and domain variance — beta-binomial mixed model</w:t>
            </w:r>
          </w:p>
        </w:tc>
      </w:tr>
      <w:tr>
        <w:tc>
          <w:tcPr>
            <w:tcW w:type="dxa" w:w="24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Exploratory</w:t>
            </w:r>
          </w:p>
        </w:tc>
        <w:tc>
          <w:tcPr>
            <w:tcW w:type="dxa" w:w="66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Qwen2.5 3B→7B→14B trend; knowledge-conditioned analysis; PCS–PSCR divergence on the closed-answer subset</w:t>
            </w:r>
          </w:p>
        </w:tc>
      </w:tr>
    </w:tbl>
    <w:p>
      <w:pPr>
        <w:spacing w:after="140"/>
      </w:pPr>
    </w:p>
    <w:p>
      <w:pPr>
        <w:spacing w:after="130" w:line="280"/>
        <w:jc w:val="both"/>
      </w:pPr>
      <w:r>
        <w:rPr>
          <w:rFonts w:ascii="Cambria" w:cs="Cambria" w:eastAsia="Cambria" w:hAnsi="Cambria"/>
          <w:sz w:val="20"/>
          <w:szCs w:val="20"/>
        </w:rPr>
        <w:t xml:space="preserve">Benjamini–Hochberg FDR control is applied to everything outside the pre-specified confirmatory contrasts. The four-class profile is presented as descriptive; the collapsed contrast carries the confirmatory claim, which is what makes 120 constraints statistically adequate.</w:t>
      </w:r>
    </w:p>
    <w:p>
      <w:pPr>
        <w:spacing w:after="130" w:line="280"/>
        <w:jc w:val="both"/>
      </w:pPr>
      <w:r>
        <w:rPr>
          <w:rFonts w:ascii="Cambria" w:cs="Cambria" w:eastAsia="Cambria" w:hAnsi="Cambria"/>
          <w:b/>
          <w:bCs/>
          <w:i w:val="false"/>
          <w:iCs w:val="false"/>
          <w:sz w:val="20"/>
          <w:szCs w:val="20"/>
        </w:rPr>
        <w:t xml:space="preserve">Knowledge-availability control. </w:t>
      </w:r>
      <w:r>
        <w:rPr>
          <w:rFonts w:ascii="Cambria" w:cs="Cambria" w:eastAsia="Cambria" w:hAnsi="Cambria"/>
          <w:sz w:val="20"/>
          <w:szCs w:val="20"/>
        </w:rPr>
        <w:t xml:space="preserve">A model that does not know an underlying fact can be trivially consistent or randomly inconsistent, and neither tells us anything about integrity. Every constraint records its prerequisite atomic facts, which are asked directly of each model in a separate knowledge screen. Results are reported twice — unconditionally across all constraints, and conditioned on the subset each model demonstrably knows. Conditioning is a reporting view, never an inclusion criterion, so that interesting failures are not silently removed.</w:t>
      </w:r>
    </w:p>
    <w:p>
      <w:pPr>
        <w:pStyle w:val="Heading2"/>
        <w:spacing w:after="110" w:before="260"/>
      </w:pPr>
      <w:r>
        <w:rPr>
          <w:rFonts w:ascii="Calibri" w:cs="Calibri" w:eastAsia="Calibri" w:hAnsi="Calibri"/>
          <w:b/>
          <w:bCs/>
          <w:color w:val="1F3864"/>
          <w:sz w:val="23"/>
          <w:szCs w:val="23"/>
        </w:rPr>
        <w:t xml:space="preserve">4.12 Execution plan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700"/>
        <w:gridCol w:w="5100"/>
        <w:gridCol w:w="3226"/>
      </w:tblGrid>
      <w:tr>
        <w:trPr>
          <w:tblHeader/>
        </w:trPr>
        <w:tc>
          <w:tcPr>
            <w:tcW w:type="dxa" w:w="7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Phase</w:t>
            </w:r>
          </w:p>
        </w:tc>
        <w:tc>
          <w:tcPr>
            <w:tcW w:type="dxa" w:w="51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Work</w:t>
            </w:r>
          </w:p>
        </w:tc>
        <w:tc>
          <w:tcPr>
            <w:tcW w:type="dxa" w:w="3226"/>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Gate</w:t>
            </w:r>
          </w:p>
        </w:tc>
      </w:tr>
      <w:tr>
        <w:tc>
          <w:tcPr>
            <w:tcW w:type="dxa" w:w="7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0</w:t>
            </w:r>
          </w:p>
        </w:tc>
        <w:tc>
          <w:tcPr>
            <w:tcW w:type="dxa" w:w="51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Systematic literature sweep; verify every citation against ACL Anthology or arXiv; finalise novelty statement</w:t>
            </w:r>
          </w:p>
        </w:tc>
        <w:tc>
          <w:tcPr>
            <w:tcW w:type="dxa" w:w="32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Novelty statement survives the search</w:t>
            </w:r>
          </w:p>
        </w:tc>
      </w:tr>
      <w:tr>
        <w:tc>
          <w:tcPr>
            <w:tcW w:type="dxa" w:w="7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1</w:t>
            </w:r>
          </w:p>
        </w:tc>
        <w:tc>
          <w:tcPr>
            <w:tcW w:type="dxa" w:w="51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Formalise constraint representation; author 12 pilot constraints (3 per class)</w:t>
            </w:r>
          </w:p>
        </w:tc>
        <w:tc>
          <w:tcPr>
            <w:tcW w:type="dxa" w:w="32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Predicates execute; ground truth resolves</w:t>
            </w:r>
          </w:p>
        </w:tc>
      </w:tr>
      <w:tr>
        <w:tc>
          <w:tcPr>
            <w:tcW w:type="dxa" w:w="7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2</w:t>
            </w:r>
          </w:p>
        </w:tc>
        <w:tc>
          <w:tcPr>
            <w:tcW w:type="dxa" w:w="51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Build Stage 0 canonicaliser, D0 checker, D1–D3, annotation interface, judge prompt</w:t>
            </w:r>
          </w:p>
        </w:tc>
        <w:tc>
          <w:tcPr>
            <w:tcW w:type="dxa" w:w="32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Pipeline runs end to end</w:t>
            </w:r>
          </w:p>
        </w:tc>
      </w:tr>
      <w:tr>
        <w:tc>
          <w:tcPr>
            <w:tcW w:type="dxa" w:w="7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3</w:t>
            </w:r>
          </w:p>
        </w:tc>
        <w:tc>
          <w:tcPr>
            <w:tcW w:type="dxa" w:w="51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Pilot: 12 constraints × 5 probes × 3 models × all detectors</w:t>
            </w:r>
          </w:p>
        </w:tc>
        <w:tc>
          <w:tcPr>
            <w:tcW w:type="dxa" w:w="32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Go/no-go criteria below</w:t>
            </w:r>
          </w:p>
        </w:tc>
      </w:tr>
      <w:tr>
        <w:tc>
          <w:tcPr>
            <w:tcW w:type="dxa" w:w="7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4</w:t>
            </w:r>
          </w:p>
        </w:tc>
        <w:tc>
          <w:tcPr>
            <w:tcW w:type="dxa" w:w="51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Preregister on OSF</w:t>
            </w:r>
          </w:p>
        </w:tc>
        <w:tc>
          <w:tcPr>
            <w:tcW w:type="dxa" w:w="32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Registered before any test-set collection</w:t>
            </w:r>
          </w:p>
        </w:tc>
      </w:tr>
      <w:tr>
        <w:tc>
          <w:tcPr>
            <w:tcW w:type="dxa" w:w="7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5</w:t>
            </w:r>
          </w:p>
        </w:tc>
        <w:tc>
          <w:tcPr>
            <w:tcW w:type="dxa" w:w="51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Author the 120-constraint benchmark; human probe validation</w:t>
            </w:r>
          </w:p>
        </w:tc>
        <w:tc>
          <w:tcPr>
            <w:tcW w:type="dxa" w:w="32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Benchmark frozen</w:t>
            </w:r>
          </w:p>
        </w:tc>
      </w:tr>
      <w:tr>
        <w:tc>
          <w:tcPr>
            <w:tcW w:type="dxa" w:w="7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6</w:t>
            </w:r>
          </w:p>
        </w:tc>
        <w:tc>
          <w:tcPr>
            <w:tcW w:type="dxa" w:w="51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Full inference: 7 models, both tiers, both tracks, stochastic subset</w:t>
            </w:r>
          </w:p>
        </w:tc>
        <w:tc>
          <w:tcPr>
            <w:tcW w:type="dxa" w:w="32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Provenance verified</w:t>
            </w:r>
          </w:p>
        </w:tc>
      </w:tr>
      <w:tr>
        <w:tc>
          <w:tcPr>
            <w:tcW w:type="dxa" w:w="7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7</w:t>
            </w:r>
          </w:p>
        </w:tc>
        <w:tc>
          <w:tcPr>
            <w:tcW w:type="dxa" w:w="51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Run D0–D4; blinded human annotation, samples A and B</w:t>
            </w:r>
          </w:p>
        </w:tc>
        <w:tc>
          <w:tcPr>
            <w:tcW w:type="dxa" w:w="32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Per-class detector P/R/F1 estimated</w:t>
            </w:r>
          </w:p>
        </w:tc>
      </w:tr>
      <w:tr>
        <w:tc>
          <w:tcPr>
            <w:tcW w:type="dxa" w:w="7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8</w:t>
            </w:r>
          </w:p>
        </w:tc>
        <w:tc>
          <w:tcPr>
            <w:tcW w:type="dxa" w:w="51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Statistical analysis; figures</w:t>
            </w:r>
          </w:p>
        </w:tc>
        <w:tc>
          <w:tcPr>
            <w:tcW w:type="dxa" w:w="32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w:t>
            </w:r>
          </w:p>
        </w:tc>
      </w:tr>
      <w:tr>
        <w:tc>
          <w:tcPr>
            <w:tcW w:type="dxa" w:w="7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9</w:t>
            </w:r>
          </w:p>
        </w:tc>
        <w:tc>
          <w:tcPr>
            <w:tcW w:type="dxa" w:w="51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Write claims</w:t>
            </w:r>
          </w:p>
        </w:tc>
        <w:tc>
          <w:tcPr>
            <w:tcW w:type="dxa" w:w="32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w:t>
            </w:r>
          </w:p>
        </w:tc>
      </w:tr>
    </w:tbl>
    <w:p>
      <w:pPr>
        <w:spacing w:after="160"/>
      </w:pPr>
    </w:p>
    <w:p>
      <w:pPr>
        <w:spacing w:after="130" w:line="280"/>
        <w:jc w:val="both"/>
      </w:pPr>
      <w:r>
        <w:rPr>
          <w:rFonts w:ascii="Cambria" w:cs="Cambria" w:eastAsia="Cambria" w:hAnsi="Cambria"/>
          <w:b/>
          <w:bCs/>
          <w:i w:val="false"/>
          <w:iCs w:val="false"/>
          <w:sz w:val="20"/>
          <w:szCs w:val="20"/>
        </w:rPr>
        <w:t xml:space="preserve">Phase 0 gates the novelty claims, not the methodology.</w:t>
      </w:r>
      <w:r>
        <w:rPr>
          <w:rFonts w:ascii="Cambria" w:cs="Cambria" w:eastAsia="Cambria" w:hAnsi="Cambria"/>
          <w:sz w:val="20"/>
          <w:szCs w:val="20"/>
        </w:rPr>
        <w:t xml:space="preserve"> The design is frozen; the literature sweep determines how the contribution is worded, and could sharpen or narrow it, but will not require redesign.</w:t>
      </w:r>
    </w:p>
    <w:p>
      <w:pPr>
        <w:spacing w:after="130" w:line="280"/>
        <w:jc w:val="both"/>
      </w:pPr>
      <w:r>
        <w:rPr>
          <w:rFonts w:ascii="Cambria" w:cs="Cambria" w:eastAsia="Cambria" w:hAnsi="Cambria"/>
          <w:b/>
          <w:bCs/>
          <w:i w:val="false"/>
          <w:iCs w:val="false"/>
          <w:sz w:val="20"/>
          <w:szCs w:val="20"/>
        </w:rPr>
        <w:t xml:space="preserve">Pilot go/no-go criteria, fixed in advance.</w:t>
      </w:r>
      <w:r>
        <w:rPr>
          <w:rFonts w:ascii="Cambria" w:cs="Cambria" w:eastAsia="Cambria" w:hAnsi="Cambria"/>
          <w:sz w:val="20"/>
          <w:szCs w:val="20"/>
        </w:rPr>
        <w:t xml:space="preserve"> Phase 3 is the last point at which changes are cheap, and criteria are specified before the pilot runs so that the methodology is not adjusted after seeing outcomes:</w:t>
      </w:r>
    </w:p>
    <w:p>
      <w:pPr>
        <w:pStyle w:val="ListParagraph"/>
        <w:numPr>
          <w:ilvl w:val="0"/>
          <w:numId w:val="2"/>
        </w:numPr>
        <w:spacing w:after="70" w:line="280"/>
      </w:pPr>
      <w:r>
        <w:rPr>
          <w:rFonts w:ascii="Cambria" w:cs="Cambria" w:eastAsia="Cambria" w:hAnsi="Cambria"/>
          <w:sz w:val="20"/>
          <w:szCs w:val="20"/>
        </w:rPr>
        <w:t xml:space="preserve">At least 95% of pilot constraints have unambiguous, sourceable ground truth.</w:t>
      </w:r>
    </w:p>
    <w:p>
      <w:pPr>
        <w:pStyle w:val="ListParagraph"/>
        <w:numPr>
          <w:ilvl w:val="0"/>
          <w:numId w:val="2"/>
        </w:numPr>
        <w:spacing w:after="70" w:line="280"/>
      </w:pPr>
      <w:r>
        <w:rPr>
          <w:rFonts w:ascii="Cambria" w:cs="Cambria" w:eastAsia="Cambria" w:hAnsi="Cambria"/>
          <w:sz w:val="20"/>
          <w:szCs w:val="20"/>
        </w:rPr>
        <w:t xml:space="preserve">At least 90% of candidate probes survive human semantic-equivalence validation.</w:t>
      </w:r>
    </w:p>
    <w:p>
      <w:pPr>
        <w:pStyle w:val="ListParagraph"/>
        <w:numPr>
          <w:ilvl w:val="0"/>
          <w:numId w:val="2"/>
        </w:numPr>
        <w:spacing w:after="70" w:line="280"/>
      </w:pPr>
      <w:r>
        <w:rPr>
          <w:rFonts w:ascii="Cambria" w:cs="Cambria" w:eastAsia="Cambria" w:hAnsi="Cambria"/>
          <w:sz w:val="20"/>
          <w:szCs w:val="20"/>
        </w:rPr>
        <w:t xml:space="preserve">Stage 0 correctly canonicalises at least 95% of valid pilot responses.</w:t>
      </w:r>
    </w:p>
    <w:p>
      <w:pPr>
        <w:pStyle w:val="ListParagraph"/>
        <w:numPr>
          <w:ilvl w:val="0"/>
          <w:numId w:val="2"/>
        </w:numPr>
        <w:spacing w:after="70" w:line="280"/>
      </w:pPr>
      <w:r>
        <w:rPr>
          <w:rFonts w:ascii="Cambria" w:cs="Cambria" w:eastAsia="Cambria" w:hAnsi="Cambria"/>
          <w:sz w:val="20"/>
          <w:szCs w:val="20"/>
        </w:rPr>
        <w:t xml:space="preserve">Every D0 predicate passes its three-instance schema audit.</w:t>
      </w:r>
    </w:p>
    <w:p>
      <w:pPr>
        <w:pStyle w:val="ListParagraph"/>
        <w:numPr>
          <w:ilvl w:val="0"/>
          <w:numId w:val="2"/>
        </w:numPr>
        <w:spacing w:after="70" w:line="280"/>
      </w:pPr>
      <w:r>
        <w:rPr>
          <w:rFonts w:ascii="Cambria" w:cs="Cambria" w:eastAsia="Cambria" w:hAnsi="Cambria"/>
          <w:sz w:val="20"/>
          <w:szCs w:val="20"/>
        </w:rPr>
        <w:t xml:space="preserve">D2 and D3 produce non-degenerate predictions (neither all-contradiction nor all-compatible).</w:t>
      </w:r>
    </w:p>
    <w:p>
      <w:pPr>
        <w:pStyle w:val="ListParagraph"/>
        <w:numPr>
          <w:ilvl w:val="0"/>
          <w:numId w:val="2"/>
        </w:numPr>
        <w:spacing w:after="70" w:line="280"/>
      </w:pPr>
      <w:r>
        <w:rPr>
          <w:rFonts w:ascii="Cambria" w:cs="Cambria" w:eastAsia="Cambria" w:hAnsi="Cambria"/>
          <w:sz w:val="20"/>
          <w:szCs w:val="20"/>
        </w:rPr>
        <w:t xml:space="preserve">Inter-annotator agreement on the pilot annotation batch is acceptable.</w:t>
      </w:r>
    </w:p>
    <w:p>
      <w:pPr>
        <w:pStyle w:val="ListParagraph"/>
        <w:numPr>
          <w:ilvl w:val="0"/>
          <w:numId w:val="2"/>
        </w:numPr>
        <w:spacing w:after="70" w:line="280"/>
      </w:pPr>
      <w:r>
        <w:rPr>
          <w:rFonts w:ascii="Cambria" w:cs="Cambria" w:eastAsia="Cambria" w:hAnsi="Cambria"/>
          <w:sz w:val="20"/>
          <w:szCs w:val="20"/>
        </w:rPr>
        <w:t xml:space="preserve">No constraint class shows an abstention rate so dominant that cross-class comparison becomes meaningless.</w:t>
      </w:r>
    </w:p>
    <w:p>
      <w:pPr>
        <w:spacing w:after="130" w:line="280"/>
        <w:jc w:val="both"/>
      </w:pPr>
      <w:r>
        <w:rPr>
          <w:rFonts w:ascii="Cambria" w:cs="Cambria" w:eastAsia="Cambria" w:hAnsi="Cambria"/>
          <w:sz w:val="20"/>
          <w:szCs w:val="20"/>
        </w:rPr>
        <w:t xml:space="preserve">Failure on any criterion triggers pipeline revision before the full benchmark is authored.</w:t>
      </w:r>
    </w:p>
    <w:p>
      <w:pPr>
        <w:pStyle w:val="Heading2"/>
        <w:spacing w:after="110" w:before="260"/>
      </w:pPr>
      <w:r>
        <w:rPr>
          <w:rFonts w:ascii="Calibri" w:cs="Calibri" w:eastAsia="Calibri" w:hAnsi="Calibri"/>
          <w:b/>
          <w:bCs/>
          <w:color w:val="1F3864"/>
          <w:sz w:val="23"/>
          <w:szCs w:val="23"/>
        </w:rPr>
        <w:t xml:space="preserve">4.13 Compute and infrastructure</w:t>
      </w:r>
    </w:p>
    <w:p>
      <w:pPr>
        <w:spacing w:after="130" w:line="280"/>
        <w:jc w:val="both"/>
      </w:pPr>
      <w:r>
        <w:rPr>
          <w:rFonts w:ascii="Cambria" w:cs="Cambria" w:eastAsia="Cambria" w:hAnsi="Cambria"/>
          <w:sz w:val="20"/>
          <w:szCs w:val="20"/>
        </w:rPr>
        <w:t xml:space="preserve">Total generation load across 7 models is roughly 19,000 short generations (on the order of one million output tokens), which is small. The binding resource for this project is authoring and annotation effort, not GPU time.</w:t>
      </w:r>
    </w:p>
    <w:p>
      <w:pPr>
        <w:spacing w:after="130" w:line="280"/>
        <w:jc w:val="both"/>
      </w:pPr>
      <w:r>
        <w:rPr>
          <w:rFonts w:ascii="Cambria" w:cs="Cambria" w:eastAsia="Cambria" w:hAnsi="Cambria"/>
          <w:b/>
          <w:bCs/>
          <w:i w:val="false"/>
          <w:iCs w:val="false"/>
          <w:sz w:val="20"/>
          <w:szCs w:val="20"/>
        </w:rPr>
        <w:t xml:space="preserve">Primary plan — institutional cluster. </w:t>
      </w:r>
      <w:r>
        <w:rPr>
          <w:rFonts w:ascii="Cambria" w:cs="Cambria" w:eastAsia="Cambria" w:hAnsi="Cambria"/>
          <w:sz w:val="20"/>
          <w:szCs w:val="20"/>
        </w:rPr>
        <w:t xml:space="preserve">All models including Llama-3.3-70B run in bf16, which eliminates quantisation as an experimental variable entirely. Required specification: one 24–40 GB GPU for models up to 14B, and either two 80 GB GPUs or one H100-class device for the 70B ceiling run.</w:t>
      </w:r>
    </w:p>
    <w:p>
      <w:pPr>
        <w:spacing w:after="130" w:line="280"/>
        <w:jc w:val="both"/>
      </w:pPr>
      <w:r>
        <w:rPr>
          <w:rFonts w:ascii="Cambria" w:cs="Cambria" w:eastAsia="Cambria" w:hAnsi="Cambria"/>
          <w:b/>
          <w:bCs/>
          <w:i w:val="false"/>
          <w:iCs w:val="false"/>
          <w:sz w:val="20"/>
          <w:szCs w:val="20"/>
        </w:rPr>
        <w:t xml:space="preserve">Documented fallback. </w:t>
      </w:r>
      <w:r>
        <w:rPr>
          <w:rFonts w:ascii="Cambria" w:cs="Cambria" w:eastAsia="Cambria" w:hAnsi="Cambria"/>
          <w:sz w:val="20"/>
          <w:szCs w:val="20"/>
        </w:rPr>
        <w:t xml:space="preserve">A managed notebook environment handles all models up to 14B in bf16; the 70B ceiling run uses a single rented 80 GB GPU session with 4-bit quantisation. Under the fallback, quantisation applies only to the ceiling model, which sits on no regression line and is reported separately. Because quantisation degrades a model and a degraded model is plausibly more inconsistent, a high-inconsistency 70B result would be confounded while a low-inconsistency result would be robust despite the handicap. The fallback therefore adds a quantisation ablation — Qwen2.5-14B at 4-bit on the primary set — which measures the effect of quantisation on PSCR directly and permits the 70B number to be interpreted either way.</w:t>
      </w:r>
    </w:p>
    <w:p>
      <w:pPr>
        <w:spacing w:after="130" w:line="280"/>
        <w:jc w:val="both"/>
      </w:pPr>
      <w:r>
        <w:rPr>
          <w:rFonts w:ascii="Cambria" w:cs="Cambria" w:eastAsia="Cambria" w:hAnsi="Cambria"/>
          <w:b/>
          <w:bCs/>
          <w:i w:val="false"/>
          <w:iCs w:val="false"/>
          <w:sz w:val="20"/>
          <w:szCs w:val="20"/>
        </w:rPr>
        <w:t xml:space="preserve">Operational notes. </w:t>
      </w:r>
      <w:r>
        <w:rPr>
          <w:rFonts w:ascii="Cambria" w:cs="Cambria" w:eastAsia="Cambria" w:hAnsi="Cambria"/>
          <w:sz w:val="20"/>
          <w:szCs w:val="20"/>
        </w:rPr>
        <w:t xml:space="preserve">Model weights are cached once from a non-GPU session rather than downloaded inside paid GPU time; results are written incrementally to JSONL so that a session disconnect does not lose a run; and all runs use a single inference stack, since mixing frameworks across models would introduce an uncontrolled variable. Exact hardware pricing and runtime figures are deliberately omitted from this proposal and will be reported as actuals after the pilot.</w:t>
      </w:r>
    </w:p>
    <w:p>
      <w:pPr>
        <w:pStyle w:val="Heading2"/>
        <w:spacing w:after="110" w:before="260"/>
      </w:pPr>
      <w:r>
        <w:rPr>
          <w:rFonts w:ascii="Calibri" w:cs="Calibri" w:eastAsia="Calibri" w:hAnsi="Calibri"/>
          <w:b/>
          <w:bCs/>
          <w:color w:val="1F3864"/>
          <w:sz w:val="23"/>
          <w:szCs w:val="23"/>
        </w:rPr>
        <w:t xml:space="preserve">4.14 Known limitations</w:t>
      </w:r>
    </w:p>
    <w:p>
      <w:pPr>
        <w:pStyle w:val="ListParagraph"/>
        <w:numPr>
          <w:ilvl w:val="0"/>
          <w:numId w:val="2"/>
        </w:numPr>
        <w:spacing w:after="70" w:line="280"/>
      </w:pPr>
      <w:r>
        <w:rPr>
          <w:rFonts w:ascii="Cambria" w:cs="Cambria" w:eastAsia="Cambria" w:hAnsi="Cambria"/>
          <w:sz w:val="20"/>
          <w:szCs w:val="20"/>
        </w:rPr>
        <w:t xml:space="preserve">The four constraint classes are an experimental taxonomy. No claim is made that they form a formally ordered complexity hierarchy, and results are reported as a structural profile rather than a monotonic curve.</w:t>
      </w:r>
    </w:p>
    <w:p>
      <w:pPr>
        <w:pStyle w:val="ListParagraph"/>
        <w:numPr>
          <w:ilvl w:val="0"/>
          <w:numId w:val="2"/>
        </w:numPr>
        <w:spacing w:after="70" w:line="280"/>
      </w:pPr>
      <w:r>
        <w:rPr>
          <w:rFonts w:ascii="Cambria" w:cs="Cambria" w:eastAsia="Cambria" w:hAnsi="Cambria"/>
          <w:sz w:val="20"/>
          <w:szCs w:val="20"/>
        </w:rPr>
        <w:t xml:space="preserve">Logical structure is partially confounded with world-knowledge difficulty. Entity-familiarity matching, the knowledge screen and the sitelink covariate mitigate this but do not eliminate it.</w:t>
      </w:r>
    </w:p>
    <w:p>
      <w:pPr>
        <w:pStyle w:val="ListParagraph"/>
        <w:numPr>
          <w:ilvl w:val="0"/>
          <w:numId w:val="2"/>
        </w:numPr>
        <w:spacing w:after="70" w:line="280"/>
      </w:pPr>
      <w:r>
        <w:rPr>
          <w:rFonts w:ascii="Cambria" w:cs="Cambria" w:eastAsia="Cambria" w:hAnsi="Cambria"/>
          <w:sz w:val="20"/>
          <w:szCs w:val="20"/>
        </w:rPr>
        <w:t xml:space="preserve">Cross-family differences cannot be attributed to architecture, training data or alignment, which are confounded across families by construction.</w:t>
      </w:r>
    </w:p>
    <w:p>
      <w:pPr>
        <w:pStyle w:val="ListParagraph"/>
        <w:numPr>
          <w:ilvl w:val="0"/>
          <w:numId w:val="2"/>
        </w:numPr>
        <w:spacing w:after="70" w:line="280"/>
      </w:pPr>
      <w:r>
        <w:rPr>
          <w:rFonts w:ascii="Cambria" w:cs="Cambria" w:eastAsia="Cambria" w:hAnsi="Cambria"/>
          <w:sz w:val="20"/>
          <w:szCs w:val="20"/>
        </w:rPr>
        <w:t xml:space="preserve">The saturation tier uses a lighter probe-validation protocol; the observed saturation budget is reported as a lower bound.</w:t>
      </w:r>
    </w:p>
    <w:p>
      <w:pPr>
        <w:pStyle w:val="ListParagraph"/>
        <w:numPr>
          <w:ilvl w:val="0"/>
          <w:numId w:val="2"/>
        </w:numPr>
        <w:spacing w:after="70" w:line="280"/>
      </w:pPr>
      <w:r>
        <w:rPr>
          <w:rFonts w:ascii="Cambria" w:cs="Cambria" w:eastAsia="Cambria" w:hAnsi="Cambria"/>
          <w:sz w:val="20"/>
          <w:szCs w:val="20"/>
        </w:rPr>
        <w:t xml:space="preserve">Underlying facts are drawn from widely documented entities and are certainly present in pretraining data. Because the benchmark evaluates consistency rather than knowledge acquisition, this is not treated as contamination; however, exposure to exact probe wording could influence results, so the evaluation prompts are withheld until primary experiments conclude and released with the dataset thereafter.</w:t>
      </w:r>
    </w:p>
    <w:p>
      <w:pPr>
        <w:pStyle w:val="ListParagraph"/>
        <w:numPr>
          <w:ilvl w:val="0"/>
          <w:numId w:val="2"/>
        </w:numPr>
        <w:spacing w:after="70" w:line="280"/>
      </w:pPr>
      <w:r>
        <w:rPr>
          <w:rFonts w:ascii="Cambria" w:cs="Cambria" w:eastAsia="Cambria" w:hAnsi="Cambria"/>
          <w:sz w:val="20"/>
          <w:szCs w:val="20"/>
        </w:rPr>
        <w:t xml:space="preserve">With 6 constraints per domain per class, domain functions as a balancing variable and supports no inferential claim about domain differences.</w:t>
      </w:r>
    </w:p>
    <w:p>
      <w:pPr>
        <w:pStyle w:val="ListParagraph"/>
        <w:numPr>
          <w:ilvl w:val="0"/>
          <w:numId w:val="2"/>
        </w:numPr>
        <w:spacing w:after="70" w:line="280"/>
      </w:pPr>
      <w:r>
        <w:rPr>
          <w:rFonts w:ascii="Cambria" w:cs="Cambria" w:eastAsia="Cambria" w:hAnsi="Cambria"/>
          <w:sz w:val="20"/>
          <w:szCs w:val="20"/>
        </w:rPr>
        <w:t xml:space="preserve">Track A's constrained output format could in principle suppress inconsistency; Track B exists to bound this concern but covers only a 20-constraint subset.</w:t>
      </w:r>
    </w:p>
    <w:p>
      <w:r>
        <w:br w:type="page"/>
      </w:r>
    </w:p>
    <w:p>
      <w:pPr>
        <w:pStyle w:val="Heading1"/>
        <w:spacing w:after="160" w:before="360"/>
      </w:pPr>
      <w:r>
        <w:rPr>
          <w:rFonts w:ascii="Calibri" w:cs="Calibri" w:eastAsia="Calibri" w:hAnsi="Calibri"/>
          <w:b/>
          <w:bCs/>
          <w:color w:val="1F3864"/>
          <w:sz w:val="30"/>
          <w:szCs w:val="30"/>
        </w:rPr>
        <w:t xml:space="preserve">5. Expected Contributions</w:t>
      </w:r>
    </w:p>
    <w:p>
      <w:pPr>
        <w:spacing w:after="130" w:line="280"/>
        <w:jc w:val="both"/>
      </w:pPr>
      <w:r>
        <w:rPr>
          <w:rFonts w:ascii="Cambria" w:cs="Cambria" w:eastAsia="Cambria" w:hAnsi="Cambria"/>
          <w:sz w:val="20"/>
          <w:szCs w:val="20"/>
        </w:rPr>
        <w:t xml:space="preserve">The contributions below are stated without priority claims. Section 2.3 records that the positioning is provisional pending Phase 0, and the final paper will make no assertion of being first to any of these.</w:t>
      </w:r>
    </w:p>
    <w:p>
      <w:pPr>
        <w:pStyle w:val="Heading2"/>
        <w:spacing w:after="110" w:before="260"/>
      </w:pPr>
      <w:r>
        <w:rPr>
          <w:rFonts w:ascii="Calibri" w:cs="Calibri" w:eastAsia="Calibri" w:hAnsi="Calibri"/>
          <w:b/>
          <w:bCs/>
          <w:color w:val="1F3864"/>
          <w:sz w:val="23"/>
          <w:szCs w:val="23"/>
        </w:rPr>
        <w:t xml:space="preserve">5.1 A knowledge-grounded integrity-constraint benchmark</w:t>
      </w:r>
    </w:p>
    <w:p>
      <w:pPr>
        <w:spacing w:after="130" w:line="280"/>
        <w:jc w:val="both"/>
      </w:pPr>
      <w:r>
        <w:rPr>
          <w:rFonts w:ascii="Cambria" w:cs="Cambria" w:eastAsia="Cambria" w:hAnsi="Cambria"/>
          <w:sz w:val="20"/>
          <w:szCs w:val="20"/>
        </w:rPr>
        <w:t xml:space="preserve">120 hand-authored constraints across four structural classes and five domains, each carrying a formal machine-checkable predicate, externally verified ground truth with source provenance, entity-familiarity metadata, and 960 human-validated meaning-preserving probes, plus a 24-constraint saturation extension at K = 50. Unlike synthetic logical-consistency benchmarks that manipulate formal reasoning structure over generated symbolic graphs, every constraint here is grounded in externally verifiable real-world knowledge.</w:t>
      </w:r>
    </w:p>
    <w:p>
      <w:pPr>
        <w:pStyle w:val="Heading2"/>
        <w:spacing w:after="110" w:before="260"/>
      </w:pPr>
      <w:r>
        <w:rPr>
          <w:rFonts w:ascii="Calibri" w:cs="Calibri" w:eastAsia="Calibri" w:hAnsi="Calibri"/>
          <w:b/>
          <w:bCs/>
          <w:color w:val="1F3864"/>
          <w:sz w:val="23"/>
          <w:szCs w:val="23"/>
        </w:rPr>
        <w:t xml:space="preserve">5.2 A structural inconsistency profile with measurement validity</w:t>
      </w:r>
    </w:p>
    <w:p>
      <w:pPr>
        <w:spacing w:after="130" w:line="280"/>
        <w:jc w:val="both"/>
      </w:pPr>
      <w:r>
        <w:rPr>
          <w:rFonts w:ascii="Cambria" w:cs="Cambria" w:eastAsia="Cambria" w:hAnsi="Cambria"/>
          <w:sz w:val="20"/>
          <w:szCs w:val="20"/>
        </w:rPr>
        <w:t xml:space="preserve">An empirical characterisation of how semantic self-inconsistency varies across structured integrity-constraint classes, measured across seven open-weight models spanning four families, a within-family scale axis and a 70B ceiling check. The profile is accompanied by per-class detector reliability estimates, so that the phenomenon and the reliability of the instrument measuring it are reported together rather than conflated.</w:t>
      </w:r>
    </w:p>
    <w:p>
      <w:pPr>
        <w:pStyle w:val="Heading2"/>
        <w:spacing w:after="110" w:before="260"/>
      </w:pPr>
      <w:r>
        <w:rPr>
          <w:rFonts w:ascii="Calibri" w:cs="Calibri" w:eastAsia="Calibri" w:hAnsi="Calibri"/>
          <w:b/>
          <w:bCs/>
          <w:color w:val="1F3864"/>
          <w:sz w:val="23"/>
          <w:szCs w:val="23"/>
        </w:rPr>
        <w:t xml:space="preserve">5.3 A validated comparison of contradiction detection mechanisms</w:t>
      </w:r>
    </w:p>
    <w:p>
      <w:pPr>
        <w:spacing w:after="130" w:line="280"/>
        <w:jc w:val="both"/>
      </w:pPr>
      <w:r>
        <w:rPr>
          <w:rFonts w:ascii="Cambria" w:cs="Cambria" w:eastAsia="Cambria" w:hAnsi="Cambria"/>
          <w:sz w:val="20"/>
          <w:szCs w:val="20"/>
        </w:rPr>
        <w:t xml:space="preserve">Symbolic, lexical, NLI-based and LLM-judge detection compared against blinded human annotation, with precision, recall, F1 and AUPRC reported separately at each constraint class, plus D0 coverage per class as a direct measure of how much of each class admits deterministic verification at all. This addresses which detection mechanisms can be trusted where — a question that must be answered before any of them is called verification.</w:t>
      </w:r>
    </w:p>
    <w:p>
      <w:pPr>
        <w:pStyle w:val="Heading2"/>
        <w:spacing w:after="110" w:before="260"/>
      </w:pPr>
      <w:r>
        <w:rPr>
          <w:rFonts w:ascii="Calibri" w:cs="Calibri" w:eastAsia="Calibri" w:hAnsi="Calibri"/>
          <w:b/>
          <w:bCs/>
          <w:color w:val="1F3864"/>
          <w:sz w:val="23"/>
          <w:szCs w:val="23"/>
        </w:rPr>
        <w:t xml:space="preserve">5.4 An empirical probe-efficiency curve</w:t>
      </w:r>
    </w:p>
    <w:p>
      <w:pPr>
        <w:spacing w:after="130" w:line="280"/>
        <w:jc w:val="both"/>
      </w:pPr>
      <w:r>
        <w:rPr>
          <w:rFonts w:ascii="Cambria" w:cs="Cambria" w:eastAsia="Cambria" w:hAnsi="Cambria"/>
          <w:sz w:val="20"/>
          <w:szCs w:val="20"/>
        </w:rPr>
        <w:t xml:space="preserve">Recovery@k across probe budgets from 2 to 50, identifying where additional semantic probing yields diminishing returns. This provides the first direct empirical evaluation of the parent SemIntegrity framework's H1 at its stated 50-probe budget, on a per-class basis, and yields an actionable engineering answer to how much probing a practical integrity check requires.</w:t>
      </w:r>
    </w:p>
    <w:p>
      <w:pPr>
        <w:pStyle w:val="Heading2"/>
        <w:spacing w:after="110" w:before="260"/>
      </w:pPr>
      <w:r>
        <w:rPr>
          <w:rFonts w:ascii="Calibri" w:cs="Calibri" w:eastAsia="Calibri" w:hAnsi="Calibri"/>
          <w:b/>
          <w:bCs/>
          <w:color w:val="1F3864"/>
          <w:sz w:val="23"/>
          <w:szCs w:val="23"/>
        </w:rPr>
        <w:t xml:space="preserve">5.5 Supporting analyses</w:t>
      </w:r>
    </w:p>
    <w:p>
      <w:pPr>
        <w:pStyle w:val="ListParagraph"/>
        <w:numPr>
          <w:ilvl w:val="0"/>
          <w:numId w:val="2"/>
        </w:numPr>
        <w:spacing w:after="70" w:line="280"/>
      </w:pPr>
      <w:r>
        <w:rPr>
          <w:rFonts w:ascii="Cambria" w:cs="Cambria" w:eastAsia="Cambria" w:hAnsi="Cambria"/>
          <w:sz w:val="20"/>
          <w:szCs w:val="20"/>
        </w:rPr>
        <w:t xml:space="preserve">Separation of factual accuracy, consistency and abstention as distinguishable reliability dimensions, including the accuracy × consistency matrix.</w:t>
      </w:r>
    </w:p>
    <w:p>
      <w:pPr>
        <w:pStyle w:val="ListParagraph"/>
        <w:numPr>
          <w:ilvl w:val="0"/>
          <w:numId w:val="2"/>
        </w:numPr>
        <w:spacing w:after="70" w:line="280"/>
      </w:pPr>
      <w:r>
        <w:rPr>
          <w:rFonts w:ascii="Cambria" w:cs="Cambria" w:eastAsia="Cambria" w:hAnsi="Cambria"/>
          <w:sz w:val="20"/>
          <w:szCs w:val="20"/>
        </w:rPr>
        <w:t xml:space="preserve">Decomposition of fixed-decoding probe-induced inconsistency from stochastic sampling instability.</w:t>
      </w:r>
    </w:p>
    <w:p>
      <w:pPr>
        <w:pStyle w:val="ListParagraph"/>
        <w:numPr>
          <w:ilvl w:val="0"/>
          <w:numId w:val="2"/>
        </w:numPr>
        <w:spacing w:after="70" w:line="280"/>
      </w:pPr>
      <w:r>
        <w:rPr>
          <w:rFonts w:ascii="Cambria" w:cs="Cambria" w:eastAsia="Cambria" w:hAnsi="Cambria"/>
          <w:sz w:val="20"/>
          <w:szCs w:val="20"/>
        </w:rPr>
        <w:t xml:space="preserve">Exploratory distributional-instability analysis addressing whether inconsistency is visible in the output distribution or arises only at the decoding layer.</w:t>
      </w:r>
    </w:p>
    <w:p>
      <w:pPr>
        <w:pStyle w:val="ListParagraph"/>
        <w:numPr>
          <w:ilvl w:val="0"/>
          <w:numId w:val="2"/>
        </w:numPr>
        <w:spacing w:after="70" w:line="280"/>
      </w:pPr>
      <w:r>
        <w:rPr>
          <w:rFonts w:ascii="Cambria" w:cs="Cambria" w:eastAsia="Cambria" w:hAnsi="Cambria"/>
          <w:sz w:val="20"/>
          <w:szCs w:val="20"/>
        </w:rPr>
        <w:t xml:space="preserve">A qualitative failure taxonomy quantifying which linguistic triggers — negation, temporal anchoring, quantifier scope, relation reversal, entity substitution, coreference, distractor context — drive disproportionate violation.</w:t>
      </w:r>
    </w:p>
    <w:p>
      <w:pPr>
        <w:pStyle w:val="Heading2"/>
        <w:spacing w:after="110" w:before="260"/>
      </w:pPr>
      <w:r>
        <w:rPr>
          <w:rFonts w:ascii="Calibri" w:cs="Calibri" w:eastAsia="Calibri" w:hAnsi="Calibri"/>
          <w:b/>
          <w:bCs/>
          <w:color w:val="1F3864"/>
          <w:sz w:val="23"/>
          <w:szCs w:val="23"/>
        </w:rPr>
        <w:t xml:space="preserve">5.6 Release</w:t>
      </w:r>
    </w:p>
    <w:p>
      <w:pPr>
        <w:spacing w:after="130" w:line="280"/>
        <w:jc w:val="both"/>
      </w:pPr>
      <w:r>
        <w:rPr>
          <w:rFonts w:ascii="Cambria" w:cs="Cambria" w:eastAsia="Cambria" w:hAnsi="Cambria"/>
          <w:sz w:val="20"/>
          <w:szCs w:val="20"/>
        </w:rPr>
        <w:t xml:space="preserve">The benchmark, formal predicates, raw model outputs, canonicalised answers, all detector outputs, human annotations and the full provenance manifest will be archived with a DOI. Wikidata is CC0, so derived constraints can be released permissively: dataset under CC-BY-4.0, code under an OSI-approved licence. The analysis plan is preregistered on OSF before any test-set collection, with a frozen development/test split so that NLI thresholds, judge prompts and extraction rules are tuned only on development data.</w:t>
      </w:r>
    </w:p>
    <w:p>
      <w:r>
        <w:br w:type="page"/>
      </w:r>
    </w:p>
    <w:p>
      <w:pPr>
        <w:pStyle w:val="Heading1"/>
        <w:spacing w:after="160" w:before="360"/>
      </w:pPr>
      <w:r>
        <w:rPr>
          <w:rFonts w:ascii="Calibri" w:cs="Calibri" w:eastAsia="Calibri" w:hAnsi="Calibri"/>
          <w:b/>
          <w:bCs/>
          <w:color w:val="1F3864"/>
          <w:sz w:val="30"/>
          <w:szCs w:val="30"/>
        </w:rPr>
        <w:t xml:space="preserve">Appendix A — Resolved Design Questions</w:t>
      </w:r>
    </w:p>
    <w:p>
      <w:pPr>
        <w:spacing w:after="130" w:line="280"/>
        <w:jc w:val="both"/>
      </w:pPr>
      <w:r>
        <w:rPr>
          <w:rFonts w:ascii="Cambria" w:cs="Cambria" w:eastAsia="Cambria" w:hAnsi="Cambria"/>
          <w:sz w:val="20"/>
          <w:szCs w:val="20"/>
        </w:rPr>
        <w:t xml:space="preserve">The four questions raised for discussion in the original proposal are answered below, together with the substantive revisions made during design review.</w:t>
      </w:r>
    </w:p>
    <w:p>
      <w:pPr>
        <w:pStyle w:val="Heading2"/>
        <w:spacing w:after="110" w:before="260"/>
      </w:pPr>
      <w:r>
        <w:rPr>
          <w:rFonts w:ascii="Calibri" w:cs="Calibri" w:eastAsia="Calibri" w:hAnsi="Calibri"/>
          <w:b/>
          <w:bCs/>
          <w:color w:val="1F3864"/>
          <w:sz w:val="23"/>
          <w:szCs w:val="23"/>
        </w:rPr>
        <w:t xml:space="preserve">A.1 The original open questions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6426"/>
      </w:tblGrid>
      <w:tr>
        <w:trPr>
          <w:tblHeader/>
        </w:trPr>
        <w:tc>
          <w:tcPr>
            <w:tcW w:type="dxa" w:w="26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Question</w:t>
            </w:r>
          </w:p>
        </w:tc>
        <w:tc>
          <w:tcPr>
            <w:tcW w:type="dxa" w:w="6426"/>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Resolution</w:t>
            </w:r>
          </w:p>
        </w:tc>
      </w:tr>
      <w:tr>
        <w:tc>
          <w:tcPr>
            <w:tcW w:type="dxa" w:w="26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Should C4 (originally modal/temporal) be included in the first pass?</w:t>
            </w:r>
          </w:p>
        </w:tc>
        <w:tc>
          <w:tcPr>
            <w:tcW w:type="dxa" w:w="64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Included, but split. Temporal is retained as C4 and is checkable against Wikidata date qualifiers. Modal and counterfactual constraints are excluded from the main benchmark: they are a separate reasoning dimension with no source of ground truth. C4 is a distinct structural requirement, not simply “C3 plus more logic.”</w:t>
            </w:r>
          </w:p>
        </w:tc>
      </w:tr>
      <w:tr>
        <w:tc>
          <w:tcPr>
            <w:tcW w:type="dxa" w:w="26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Is 15 constraints per level sufficient for statistical claims?</w:t>
            </w:r>
          </w:p>
        </w:tc>
        <w:tc>
          <w:tcPr>
            <w:tcW w:type="dxa" w:w="64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No. Increased to 30 per class, 120 total. At n = 15 the 95% intervals around 0.90 and 0.60 overlap, so the values the original H1 predicts could not be separated. Adequacy at n = 30 depends on the collapsed confirmatory contrast (C1+C2 vs C3+C4, 60 per arm); the four-class profile is descriptive.</w:t>
            </w:r>
          </w:p>
        </w:tc>
      </w:tr>
      <w:tr>
        <w:tc>
          <w:tcPr>
            <w:tcW w:type="dxa" w:w="26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Should the closed-source M5 be included given reproducibility concerns?</w:t>
            </w:r>
          </w:p>
        </w:tc>
        <w:tc>
          <w:tcPr>
            <w:tcW w:type="dxa" w:w="64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Resolved. Gemma-2-9B-it replaces it permanently; every evaluated model has pinned open weights. The reproducibility concern migrates to the LLM judge, which is handled by a version-pinned external judge with an open-weight subset check and full archiving of raw judgements.</w:t>
            </w:r>
          </w:p>
        </w:tc>
      </w:tr>
      <w:tr>
        <w:tc>
          <w:tcPr>
            <w:tcW w:type="dxa" w:w="26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Is there lab infrastructure, or should the pipeline assume notebook-tier resources?</w:t>
            </w:r>
          </w:p>
        </w:tc>
        <w:tc>
          <w:tcPr>
            <w:tcW w:type="dxa" w:w="64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Institutional cluster is the primary plan, enabling bf16 throughout including the 70B and eliminating quantisation as a variable. A notebook-tier fallback with a rented 80 GB session for the ceiling model is documented in Section 4.13, together with the quantisation ablation it would require.</w:t>
            </w:r>
          </w:p>
        </w:tc>
      </w:tr>
    </w:tbl>
    <w:p>
      <w:pPr>
        <w:pStyle w:val="Heading2"/>
        <w:spacing w:after="110" w:before="260"/>
      </w:pPr>
      <w:r>
        <w:rPr>
          <w:rFonts w:ascii="Calibri" w:cs="Calibri" w:eastAsia="Calibri" w:hAnsi="Calibri"/>
          <w:b/>
          <w:bCs/>
          <w:color w:val="1F3864"/>
          <w:sz w:val="23"/>
          <w:szCs w:val="23"/>
        </w:rPr>
        <w:t xml:space="preserve">A.2 Principal revisions from the original proposal</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5826"/>
      </w:tblGrid>
      <w:tr>
        <w:trPr>
          <w:tblHeader/>
        </w:trPr>
        <w:tc>
          <w:tcPr>
            <w:tcW w:type="dxa" w:w="32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Original</w:t>
            </w:r>
          </w:p>
        </w:tc>
        <w:tc>
          <w:tcPr>
            <w:tcW w:type="dxa" w:w="5826"/>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Revision and reason</w:t>
            </w:r>
          </w:p>
        </w:tc>
      </w:tr>
      <w:tr>
        <w:tc>
          <w:tcPr>
            <w:tcW w:type="dxa" w:w="32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Title: “Parametric Complexity Analysis…”</w:t>
            </w:r>
          </w:p>
        </w:tc>
        <w:tc>
          <w:tcPr>
            <w:tcW w:type="dxa" w:w="58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Retitled. “Parameterized complexity” denotes an established field in theoretical computer science; the original title invites a reviewer expecting fixed-parameter tractability results.</w:t>
            </w:r>
          </w:p>
        </w:tc>
      </w:tr>
      <w:tr>
        <w:tc>
          <w:tcPr>
            <w:tcW w:type="dxa" w:w="32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“Parametric inconsistency”; “models store contradictory knowledge”</w:t>
            </w:r>
          </w:p>
        </w:tc>
        <w:tc>
          <w:tcPr>
            <w:tcW w:type="dxa" w:w="58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Removed throughout. The design observes output behaviour and cannot establish parametric origin.</w:t>
            </w:r>
          </w:p>
        </w:tc>
      </w:tr>
      <w:tr>
        <w:tc>
          <w:tcPr>
            <w:tcW w:type="dxa" w:w="32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H1 tested by plotting violation rate against level</w:t>
            </w:r>
          </w:p>
        </w:tc>
        <w:tc>
          <w:tcPr>
            <w:tcW w:type="dxa" w:w="58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H1 was a claim about detection rate; the stated analysis tested violation rate. The two are now separate hypotheses (H1 and H2).</w:t>
            </w:r>
          </w:p>
        </w:tc>
      </w:tr>
      <w:tr>
        <w:tc>
          <w:tcPr>
            <w:tcW w:type="dxa" w:w="32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CVR (≥ 1 contradiction) as the primary metric</w:t>
            </w:r>
          </w:p>
        </w:tc>
        <w:tc>
          <w:tcPr>
            <w:tcW w:type="dxa" w:w="58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Demoted to secondary and renamed AOCR. It saturates as a function of K and would have measured detector false positives rather than model behaviour.</w:t>
            </w:r>
          </w:p>
        </w:tc>
      </w:tr>
      <w:tr>
        <w:tc>
          <w:tcPr>
            <w:tcW w:type="dxa" w:w="32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Three detectors applied to raw responses</w:t>
            </w:r>
          </w:p>
        </w:tc>
        <w:tc>
          <w:tcPr>
            <w:tcW w:type="dxa" w:w="58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A canonicalisation stage was missing and is now mandatory; D0 symbolic reference and D4 distributional instability are added; humans are the gold standard throughout.</w:t>
            </w:r>
          </w:p>
        </w:tc>
      </w:tr>
      <w:tr>
        <w:tc>
          <w:tcPr>
            <w:tcW w:type="dxa" w:w="32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“Isolates architecture effect / data effect”; Phi-3.5 as a scale control</w:t>
            </w:r>
          </w:p>
        </w:tc>
        <w:tc>
          <w:tcPr>
            <w:tcW w:type="dxa" w:w="58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Deleted. Model families are confounded bundles. A genuine within-family scale axis (Qwen2.5 3B/7B/14B) replaces the cross-family pseudo-control.</w:t>
            </w:r>
          </w:p>
        </w:tc>
      </w:tr>
      <w:tr>
        <w:tc>
          <w:tcPr>
            <w:tcW w:type="dxa" w:w="32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NLI-only paraphrase validation</w:t>
            </w:r>
          </w:p>
        </w:tc>
        <w:tc>
          <w:tcPr>
            <w:tcW w:type="dxa" w:w="58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Replaced by human validation. Using NLI to certify the equivalence that NLI-based detection then depends on is close to circular, and MNLI models are out-of-distribution on question forms.</w:t>
            </w:r>
          </w:p>
        </w:tc>
      </w:tr>
      <w:tr>
        <w:tc>
          <w:tcPr>
            <w:tcW w:type="dxa" w:w="32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Proportion-based statistics</w:t>
            </w:r>
          </w:p>
        </w:tc>
        <w:tc>
          <w:tcPr>
            <w:tcW w:type="dxa" w:w="58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Replaced by constraint-level aggregation, beta-binomial mixed models and cluster-bootstrap intervals, because probe pairs share responses and are not independent.</w:t>
            </w:r>
          </w:p>
        </w:tc>
      </w:tr>
      <w:tr>
        <w:tc>
          <w:tcPr>
            <w:tcW w:type="dxa" w:w="32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“First empirical degradation curve”</w:t>
            </w:r>
          </w:p>
        </w:tc>
        <w:tc>
          <w:tcPr>
            <w:tcW w:type="dxa" w:w="58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Removed. The 2025–2026 consistency literature is substantial; the contribution is the combination in Section 2.3, subject to Phase 0.</w:t>
            </w:r>
          </w:p>
        </w:tc>
      </w:tr>
    </w:tbl>
    <w:p>
      <w:pPr>
        <w:pStyle w:val="Heading2"/>
        <w:spacing w:after="110" w:before="260"/>
      </w:pPr>
      <w:r>
        <w:rPr>
          <w:rFonts w:ascii="Calibri" w:cs="Calibri" w:eastAsia="Calibri" w:hAnsi="Calibri"/>
          <w:b/>
          <w:bCs/>
          <w:color w:val="1F3864"/>
          <w:sz w:val="23"/>
          <w:szCs w:val="23"/>
        </w:rPr>
        <w:t xml:space="preserve">A.3 Related work to be engaged</w:t>
      </w:r>
    </w:p>
    <w:p>
      <w:pPr>
        <w:spacing w:after="130" w:line="280"/>
        <w:jc w:val="both"/>
      </w:pPr>
      <w:r>
        <w:rPr>
          <w:rFonts w:ascii="Cambria" w:cs="Cambria" w:eastAsia="Cambria" w:hAnsi="Cambria"/>
          <w:sz w:val="20"/>
          <w:szCs w:val="20"/>
        </w:rPr>
        <w:t xml:space="preserve">The following must be cited and positioned against. All citations are to be verified against ACL Anthology or arXiv directly during Phase 0.</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5826"/>
      </w:tblGrid>
      <w:tr>
        <w:trPr>
          <w:tblHeader/>
        </w:trPr>
        <w:tc>
          <w:tcPr>
            <w:tcW w:type="dxa" w:w="3200"/>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Work</w:t>
            </w:r>
          </w:p>
        </w:tc>
        <w:tc>
          <w:tcPr>
            <w:tcW w:type="dxa" w:w="5826"/>
            <w:shd w:fill="1F3864" w:color="auto" w:val="clear"/>
            <w:tcMar>
              <w:top w:type="dxa" w:w="70"/>
              <w:left w:type="dxa" w:w="110"/>
              <w:bottom w:type="dxa" w:w="70"/>
              <w:right w:type="dxa" w:w="110"/>
            </w:tcMar>
            <w:vAlign w:val="top"/>
          </w:tcPr>
          <w:p>
            <w:pPr>
              <w:spacing w:after="0" w:line="250"/>
            </w:pPr>
            <w:r>
              <w:rPr>
                <w:rFonts w:ascii="Cambria" w:cs="Cambria" w:eastAsia="Cambria" w:hAnsi="Cambria"/>
                <w:b/>
                <w:bCs/>
                <w:color w:val="FFFFFF"/>
                <w:sz w:val="18"/>
                <w:szCs w:val="18"/>
              </w:rPr>
              <w:t xml:space="preserve">Why it matters here</w:t>
            </w:r>
          </w:p>
        </w:tc>
      </w:tr>
      <w:tr>
        <w:tc>
          <w:tcPr>
            <w:tcW w:type="dxa" w:w="32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Elazar et al., TACL 2021 — ParaRel</w:t>
            </w:r>
          </w:p>
        </w:tc>
        <w:tc>
          <w:tcPr>
            <w:tcW w:type="dxa" w:w="58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Closest precursor: Wikidata-grounded paraphrase consistency on atomic relations. Structurally the same method, applied to a single class.</w:t>
            </w:r>
          </w:p>
        </w:tc>
      </w:tr>
      <w:tr>
        <w:tc>
          <w:tcPr>
            <w:tcW w:type="dxa" w:w="32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Kassner et al., EMNLP 2021 — BeliefBank</w:t>
            </w:r>
          </w:p>
        </w:tc>
        <w:tc>
          <w:tcPr>
            <w:tcW w:type="dxa" w:w="58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Constraint-based consistency with symbolic memory; closest to C2 and C3.</w:t>
            </w:r>
          </w:p>
        </w:tc>
      </w:tr>
      <w:tr>
        <w:tc>
          <w:tcPr>
            <w:tcW w:type="dxa" w:w="32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Mitchell et al., 2022 — ConCoRD</w:t>
            </w:r>
          </w:p>
        </w:tc>
        <w:tc>
          <w:tcPr>
            <w:tcW w:type="dxa" w:w="58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NLI-based consistency correction; direct precedent for D2, which is therefore not novel.</w:t>
            </w:r>
          </w:p>
        </w:tc>
      </w:tr>
      <w:tr>
        <w:tc>
          <w:tcPr>
            <w:tcW w:type="dxa" w:w="32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Manakul et al., EMNLP 2023 — SelfCheckGPT</w:t>
            </w:r>
          </w:p>
        </w:tc>
        <w:tc>
          <w:tcPr>
            <w:tcW w:type="dxa" w:w="58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Sampled-response consistency; related to the stochastic subset.</w:t>
            </w:r>
          </w:p>
        </w:tc>
      </w:tr>
      <w:tr>
        <w:tc>
          <w:tcPr>
            <w:tcW w:type="dxa" w:w="32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Mündler et al., 2023 — self-contradiction</w:t>
            </w:r>
          </w:p>
        </w:tc>
        <w:tc>
          <w:tcPr>
            <w:tcW w:type="dxa" w:w="58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Prompted detection and mitigation; the basis for D3, which is presented as a baseline rather than a novel detector.</w:t>
            </w:r>
          </w:p>
        </w:tc>
      </w:tr>
      <w:tr>
        <w:tc>
          <w:tcPr>
            <w:tcW w:type="dxa" w:w="32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Berglund et al., 2023 — Reversal Curse</w:t>
            </w:r>
          </w:p>
        </w:tc>
        <w:tc>
          <w:tcPr>
            <w:tcW w:type="dxa" w:w="58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Motivates the directionality probe factor.</w:t>
            </w:r>
          </w:p>
        </w:tc>
      </w:tr>
      <w:tr>
        <w:tc>
          <w:tcPr>
            <w:tcW w:type="dxa" w:w="32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LogiConBench, ICLR 2026</w:t>
            </w:r>
          </w:p>
        </w:tc>
        <w:tc>
          <w:tcPr>
            <w:tcW w:type="dxa" w:w="58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The principal positioning challenge: controllable-depth logical consistency benchmarking. Distinguished by synthetic symbolic graphs versus knowledge-grounded constraints.</w:t>
            </w:r>
          </w:p>
        </w:tc>
      </w:tr>
      <w:tr>
        <w:tc>
          <w:tcPr>
            <w:tcW w:type="dxa" w:w="32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ChaosBench-Logic</w:t>
            </w:r>
          </w:p>
        </w:tc>
        <w:tc>
          <w:tcPr>
            <w:tcW w:type="dxa" w:w="58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Atomic through first-order consistency with contradiction metrics; rules out any claim to be first on that axis.</w:t>
            </w:r>
          </w:p>
        </w:tc>
      </w:tr>
      <w:tr>
        <w:tc>
          <w:tcPr>
            <w:tcW w:type="dxa" w:w="32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REPAIR / Aligning with Logic</w:t>
            </w:r>
          </w:p>
        </w:tc>
        <w:tc>
          <w:tcPr>
            <w:tcW w:type="dxa" w:w="58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Transitivity, commutativity and negation-invariance consistency proxies.</w:t>
            </w:r>
          </w:p>
        </w:tc>
      </w:tr>
      <w:tr>
        <w:tc>
          <w:tcPr>
            <w:tcW w:type="dxa" w:w="32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Tsujimura et al., ACL 2026</w:t>
            </w:r>
          </w:p>
        </w:tc>
        <w:tc>
          <w:tcPr>
            <w:tcW w:type="dxa" w:w="58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Isolates belief consistency from task-solving ability using JS divergence, and studies scaling. Establishes precedent for D4 and constrains any scale-related claim.</w:t>
            </w:r>
          </w:p>
        </w:tc>
      </w:tr>
      <w:tr>
        <w:tc>
          <w:tcPr>
            <w:tcW w:type="dxa" w:w="3200"/>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Flip-Flop Consistency, ACL 2026</w:t>
            </w:r>
          </w:p>
        </w:tc>
        <w:tc>
          <w:tcPr>
            <w:tcW w:type="dxa" w:w="5826"/>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Inconsistency under prompt perturbation.</w:t>
            </w:r>
          </w:p>
        </w:tc>
      </w:tr>
      <w:tr>
        <w:tc>
          <w:tcPr>
            <w:tcW w:type="dxa" w:w="3200"/>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Logical Consistency as a Bridge, ACL 2026</w:t>
            </w:r>
          </w:p>
        </w:tc>
        <w:tc>
          <w:tcPr>
            <w:tcW w:type="dxa" w:w="5826"/>
            <w:shd w:fill="F2F2F2" w:color="auto" w:val="clear"/>
            <w:tcMar>
              <w:top w:type="dxa" w:w="70"/>
              <w:left w:type="dxa" w:w="110"/>
              <w:bottom w:type="dxa" w:w="70"/>
              <w:right w:type="dxa" w:w="110"/>
            </w:tcMar>
            <w:vAlign w:val="top"/>
          </w:tcPr>
          <w:p>
            <w:pPr>
              <w:spacing w:after="0" w:line="250"/>
            </w:pPr>
            <w:r>
              <w:rPr>
                <w:rFonts w:ascii="Cambria" w:cs="Cambria" w:eastAsia="Cambria" w:hAnsi="Cambria"/>
                <w:b w:val="false"/>
                <w:bCs w:val="false"/>
                <w:sz w:val="18"/>
                <w:szCs w:val="18"/>
              </w:rPr>
              <w:t xml:space="preserve">Logical-consistency constraints applied to hallucination detection.</w:t>
            </w:r>
          </w:p>
        </w:tc>
      </w:tr>
    </w:tbl>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SemIntegrity — Project Proposal v2</dc:title>
  <dc:creator>Surajsinh Patil</dc:creator>
  <dc:description>Reading Course Project Proposal, P13</dc:description>
  <cp:lastModifiedBy>Un-named</cp:lastModifiedBy>
  <cp:revision>1</cp:revision>
  <dcterms:created xsi:type="dcterms:W3CDTF">2026-08-29T06:42:16.010Z</dcterms:created>
  <dcterms:modified xsi:type="dcterms:W3CDTF">2026-08-29T06:42:16.026Z</dcterms:modified>
</cp:coreProperties>
</file>

<file path=docProps/custom.xml><?xml version="1.0" encoding="utf-8"?>
<Properties xmlns="http://schemas.openxmlformats.org/officeDocument/2006/custom-properties" xmlns:vt="http://schemas.openxmlformats.org/officeDocument/2006/docPropsVTypes"/>
</file>