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jc w:val="center"/>
      </w:pPr>
      <w:r>
        <w:rPr>
          <w:rFonts w:ascii="Arial" w:cs="Arial" w:eastAsia="Arial" w:hAnsi="Arial"/>
          <w:b/>
          <w:bCs/>
          <w:color w:val="888888"/>
          <w:sz w:val="22"/>
          <w:szCs w:val="22"/>
        </w:rPr>
        <w:t xml:space="preserve">PRODUCT REQUIREMENTS DOCUMENT</w:t>
      </w:r>
    </w:p>
    <w:p>
      <w:pPr>
        <w:spacing w:after="160" w:before="0"/>
        <w:jc w:val="center"/>
      </w:pPr>
      <w:r>
        <w:rPr>
          <w:rFonts w:ascii="Arial" w:cs="Arial" w:eastAsia="Arial" w:hAnsi="Arial"/>
          <w:b/>
          <w:bCs/>
          <w:color w:val="1E3A5F"/>
          <w:sz w:val="72"/>
          <w:szCs w:val="72"/>
        </w:rPr>
        <w:t xml:space="preserve">gitwhy</w:t>
      </w:r>
    </w:p>
    <w:p>
      <w:pPr>
        <w:spacing w:after="80" w:before="0"/>
        <w:jc w:val="center"/>
      </w:pPr>
      <w:r>
        <w:rPr>
          <w:rFonts w:ascii="Arial" w:cs="Arial" w:eastAsia="Arial" w:hAnsi="Arial"/>
          <w:b w:val="false"/>
          <w:bCs w:val="false"/>
          <w:color w:val="2E75B6"/>
          <w:sz w:val="32"/>
          <w:szCs w:val="32"/>
        </w:rPr>
        <w:t xml:space="preserve">ghw — Intent-Aware Git CLI</w:t>
      </w:r>
    </w:p>
    <w:p>
      <w:pPr>
        <w:spacing w:after="600" w:before="0"/>
        <w:jc w:val="center"/>
      </w:pPr>
      <w:r>
        <w:rPr>
          <w:rFonts w:ascii="Arial" w:cs="Arial" w:eastAsia="Arial" w:hAnsi="Arial"/>
          <w:i/>
          <w:iCs/>
          <w:color w:val="595959"/>
          <w:sz w:val="24"/>
          <w:szCs w:val="24"/>
        </w:rPr>
        <w:t xml:space="preserve">Provenance and intent tracking for the age of AI-generated code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DDDDDD" w:sz="1"/>
              <w:left w:val="none" w:color="FFFFFF" w:sz="0"/>
              <w:bottom w:val="single" w:color="DDDDDD" w:sz="1"/>
              <w:right w:val="none" w:color="FFFFFF" w:sz="0"/>
            </w:tcBorders>
            <w:shd w:fill="FFFFFF" w:val="clear"/>
            <w:tcMar>
              <w:top w:type="dxa" w:w="80"/>
              <w:left w:type="dxa" w:w="0"/>
              <w:bottom w:type="dxa" w:w="80"/>
              <w:right w:type="dxa" w:w="0"/>
            </w:tcMar>
          </w:tcPr>
          <w:p>
            <w:pPr>
              <w:jc w:val="right"/>
            </w:pPr>
            <w:r>
              <w:rPr>
                <w:rFonts w:ascii="Arial" w:cs="Arial" w:eastAsia="Arial" w:hAnsi="Arial"/>
                <w:b/>
                <w:bCs/>
                <w:color w:val="595959"/>
                <w:sz w:val="20"/>
                <w:szCs w:val="20"/>
              </w:rPr>
              <w:t xml:space="preserve">Version</w:t>
            </w:r>
          </w:p>
        </w:tc>
        <w:tc>
          <w:tcPr>
            <w:tcW w:type="dxa" w:w="2800"/>
            <w:tcBorders>
              <w:top w:val="single" w:color="DDDDDD" w:sz="1"/>
              <w:left w:val="none" w:color="FFFFFF" w:sz="0"/>
              <w:bottom w:val="single" w:color="DDDDDD" w:sz="1"/>
              <w:right w:val="none" w:color="FFFFFF" w:sz="0"/>
            </w:tcBorders>
            <w:shd w:fill="FFFFFF" w:val="clear"/>
            <w:tcMar>
              <w:top w:type="dxa" w:w="80"/>
              <w:left w:type="dxa" w:w="240"/>
              <w:bottom w:type="dxa" w:w="80"/>
              <w:right w:type="dxa" w:w="0"/>
            </w:tcMar>
          </w:tcPr>
          <w:p>
            <w:r>
              <w:rPr>
                <w:rFonts w:ascii="Arial" w:cs="Arial" w:eastAsia="Arial" w:hAnsi="Arial"/>
                <w:color w:val="333333"/>
                <w:sz w:val="20"/>
                <w:szCs w:val="20"/>
              </w:rPr>
              <w:t xml:space="preserve">1.0 — Draft</w:t>
            </w:r>
          </w:p>
        </w:tc>
      </w:tr>
      <w:tr>
        <w:tc>
          <w:tcPr>
            <w:tcW w:type="dxa" w:w="2200"/>
            <w:tcBorders>
              <w:top w:val="single" w:color="DDDDDD" w:sz="1"/>
              <w:left w:val="none" w:color="FFFFFF" w:sz="0"/>
              <w:bottom w:val="single" w:color="DDDDDD" w:sz="1"/>
              <w:right w:val="none" w:color="FFFFFF" w:sz="0"/>
            </w:tcBorders>
            <w:shd w:fill="FFFFFF" w:val="clear"/>
            <w:tcMar>
              <w:top w:type="dxa" w:w="80"/>
              <w:left w:type="dxa" w:w="0"/>
              <w:bottom w:type="dxa" w:w="80"/>
              <w:right w:type="dxa" w:w="0"/>
            </w:tcMar>
          </w:tcPr>
          <w:p>
            <w:pPr>
              <w:jc w:val="right"/>
            </w:pPr>
            <w:r>
              <w:rPr>
                <w:rFonts w:ascii="Arial" w:cs="Arial" w:eastAsia="Arial" w:hAnsi="Arial"/>
                <w:b/>
                <w:bCs/>
                <w:color w:val="595959"/>
                <w:sz w:val="20"/>
                <w:szCs w:val="20"/>
              </w:rPr>
              <w:t xml:space="preserve">Status</w:t>
            </w:r>
          </w:p>
        </w:tc>
        <w:tc>
          <w:tcPr>
            <w:tcW w:type="dxa" w:w="2800"/>
            <w:tcBorders>
              <w:top w:val="single" w:color="DDDDDD" w:sz="1"/>
              <w:left w:val="none" w:color="FFFFFF" w:sz="0"/>
              <w:bottom w:val="single" w:color="DDDDDD" w:sz="1"/>
              <w:right w:val="none" w:color="FFFFFF" w:sz="0"/>
            </w:tcBorders>
            <w:shd w:fill="FFFFFF" w:val="clear"/>
            <w:tcMar>
              <w:top w:type="dxa" w:w="80"/>
              <w:left w:type="dxa" w:w="240"/>
              <w:bottom w:type="dxa" w:w="80"/>
              <w:right w:type="dxa" w:w="0"/>
            </w:tcMar>
          </w:tcPr>
          <w:p>
            <w:r>
              <w:rPr>
                <w:rFonts w:ascii="Arial" w:cs="Arial" w:eastAsia="Arial" w:hAnsi="Arial"/>
                <w:color w:val="333333"/>
                <w:sz w:val="20"/>
                <w:szCs w:val="20"/>
              </w:rPr>
              <w:t xml:space="preserve">For Review</w:t>
            </w:r>
          </w:p>
        </w:tc>
      </w:tr>
      <w:tr>
        <w:tc>
          <w:tcPr>
            <w:tcW w:type="dxa" w:w="2200"/>
            <w:tcBorders>
              <w:top w:val="single" w:color="DDDDDD" w:sz="1"/>
              <w:left w:val="none" w:color="FFFFFF" w:sz="0"/>
              <w:bottom w:val="single" w:color="DDDDDD" w:sz="1"/>
              <w:right w:val="none" w:color="FFFFFF" w:sz="0"/>
            </w:tcBorders>
            <w:shd w:fill="FFFFFF" w:val="clear"/>
            <w:tcMar>
              <w:top w:type="dxa" w:w="80"/>
              <w:left w:type="dxa" w:w="0"/>
              <w:bottom w:type="dxa" w:w="80"/>
              <w:right w:type="dxa" w:w="0"/>
            </w:tcMar>
          </w:tcPr>
          <w:p>
            <w:pPr>
              <w:jc w:val="right"/>
            </w:pPr>
            <w:r>
              <w:rPr>
                <w:rFonts w:ascii="Arial" w:cs="Arial" w:eastAsia="Arial" w:hAnsi="Arial"/>
                <w:b/>
                <w:bCs/>
                <w:color w:val="595959"/>
                <w:sz w:val="20"/>
                <w:szCs w:val="20"/>
              </w:rPr>
              <w:t xml:space="preserve">Author</w:t>
            </w:r>
          </w:p>
        </w:tc>
        <w:tc>
          <w:tcPr>
            <w:tcW w:type="dxa" w:w="2800"/>
            <w:tcBorders>
              <w:top w:val="single" w:color="DDDDDD" w:sz="1"/>
              <w:left w:val="none" w:color="FFFFFF" w:sz="0"/>
              <w:bottom w:val="single" w:color="DDDDDD" w:sz="1"/>
              <w:right w:val="none" w:color="FFFFFF" w:sz="0"/>
            </w:tcBorders>
            <w:shd w:fill="FFFFFF" w:val="clear"/>
            <w:tcMar>
              <w:top w:type="dxa" w:w="80"/>
              <w:left w:type="dxa" w:w="240"/>
              <w:bottom w:type="dxa" w:w="80"/>
              <w:right w:type="dxa" w:w="0"/>
            </w:tcMar>
          </w:tcPr>
          <w:p>
            <w:r>
              <w:rPr>
                <w:rFonts w:ascii="Arial" w:cs="Arial" w:eastAsia="Arial" w:hAnsi="Arial"/>
                <w:color w:val="333333"/>
                <w:sz w:val="20"/>
                <w:szCs w:val="20"/>
              </w:rPr>
              <w:t xml:space="preserve">Suraj</w:t>
            </w:r>
          </w:p>
        </w:tc>
      </w:tr>
      <w:tr>
        <w:tc>
          <w:tcPr>
            <w:tcW w:type="dxa" w:w="2200"/>
            <w:tcBorders>
              <w:top w:val="single" w:color="DDDDDD" w:sz="1"/>
              <w:left w:val="none" w:color="FFFFFF" w:sz="0"/>
              <w:bottom w:val="single" w:color="DDDDDD" w:sz="1"/>
              <w:right w:val="none" w:color="FFFFFF" w:sz="0"/>
            </w:tcBorders>
            <w:shd w:fill="FFFFFF" w:val="clear"/>
            <w:tcMar>
              <w:top w:type="dxa" w:w="80"/>
              <w:left w:type="dxa" w:w="0"/>
              <w:bottom w:type="dxa" w:w="80"/>
              <w:right w:type="dxa" w:w="0"/>
            </w:tcMar>
          </w:tcPr>
          <w:p>
            <w:pPr>
              <w:jc w:val="right"/>
            </w:pPr>
            <w:r>
              <w:rPr>
                <w:rFonts w:ascii="Arial" w:cs="Arial" w:eastAsia="Arial" w:hAnsi="Arial"/>
                <w:b/>
                <w:bCs/>
                <w:color w:val="595959"/>
                <w:sz w:val="20"/>
                <w:szCs w:val="20"/>
              </w:rPr>
              <w:t xml:space="preserve">Date</w:t>
            </w:r>
          </w:p>
        </w:tc>
        <w:tc>
          <w:tcPr>
            <w:tcW w:type="dxa" w:w="2800"/>
            <w:tcBorders>
              <w:top w:val="single" w:color="DDDDDD" w:sz="1"/>
              <w:left w:val="none" w:color="FFFFFF" w:sz="0"/>
              <w:bottom w:val="single" w:color="DDDDDD" w:sz="1"/>
              <w:right w:val="none" w:color="FFFFFF" w:sz="0"/>
            </w:tcBorders>
            <w:shd w:fill="FFFFFF" w:val="clear"/>
            <w:tcMar>
              <w:top w:type="dxa" w:w="80"/>
              <w:left w:type="dxa" w:w="240"/>
              <w:bottom w:type="dxa" w:w="80"/>
              <w:right w:type="dxa" w:w="0"/>
            </w:tcMar>
          </w:tcPr>
          <w:p>
            <w:r>
              <w:rPr>
                <w:rFonts w:ascii="Arial" w:cs="Arial" w:eastAsia="Arial" w:hAnsi="Arial"/>
                <w:color w:val="333333"/>
                <w:sz w:val="20"/>
                <w:szCs w:val="20"/>
              </w:rPr>
              <w:t xml:space="preserve">June 2026</w:t>
            </w:r>
          </w:p>
        </w:tc>
      </w:tr>
      <w:tr>
        <w:tc>
          <w:tcPr>
            <w:tcW w:type="dxa" w:w="2200"/>
            <w:tcBorders>
              <w:top w:val="single" w:color="DDDDDD" w:sz="1"/>
              <w:left w:val="none" w:color="FFFFFF" w:sz="0"/>
              <w:bottom w:val="single" w:color="DDDDDD" w:sz="1"/>
              <w:right w:val="none" w:color="FFFFFF" w:sz="0"/>
            </w:tcBorders>
            <w:shd w:fill="FFFFFF" w:val="clear"/>
            <w:tcMar>
              <w:top w:type="dxa" w:w="80"/>
              <w:left w:type="dxa" w:w="0"/>
              <w:bottom w:type="dxa" w:w="80"/>
              <w:right w:type="dxa" w:w="0"/>
            </w:tcMar>
          </w:tcPr>
          <w:p>
            <w:pPr>
              <w:jc w:val="right"/>
            </w:pPr>
            <w:r>
              <w:rPr>
                <w:rFonts w:ascii="Arial" w:cs="Arial" w:eastAsia="Arial" w:hAnsi="Arial"/>
                <w:b/>
                <w:bCs/>
                <w:color w:val="595959"/>
                <w:sz w:val="20"/>
                <w:szCs w:val="20"/>
              </w:rPr>
              <w:t xml:space="preserve">Classification</w:t>
            </w:r>
          </w:p>
        </w:tc>
        <w:tc>
          <w:tcPr>
            <w:tcW w:type="dxa" w:w="2800"/>
            <w:tcBorders>
              <w:top w:val="single" w:color="DDDDDD" w:sz="1"/>
              <w:left w:val="none" w:color="FFFFFF" w:sz="0"/>
              <w:bottom w:val="single" w:color="DDDDDD" w:sz="1"/>
              <w:right w:val="none" w:color="FFFFFF" w:sz="0"/>
            </w:tcBorders>
            <w:shd w:fill="FFFFFF" w:val="clear"/>
            <w:tcMar>
              <w:top w:type="dxa" w:w="80"/>
              <w:left w:type="dxa" w:w="240"/>
              <w:bottom w:type="dxa" w:w="80"/>
              <w:right w:type="dxa" w:w="0"/>
            </w:tcMar>
          </w:tcPr>
          <w:p>
            <w:r>
              <w:rPr>
                <w:rFonts w:ascii="Arial" w:cs="Arial" w:eastAsia="Arial" w:hAnsi="Arial"/>
                <w:color w:val="333333"/>
                <w:sz w:val="20"/>
                <w:szCs w:val="20"/>
              </w:rPr>
              <w:t xml:space="preserve">Confidential</w:t>
            </w:r>
          </w:p>
        </w:tc>
      </w:tr>
    </w:tbl>
    <w:p>
      <w:pPr>
        <w:spacing w:after="0" w:before="0"/>
      </w:pPr>
      <w:r>
        <w:br w:type="page"/>
      </w:r>
    </w:p>
    <w:p>
      <w:pPr>
        <w:pStyle w:val="Heading1"/>
        <w:pBdr>
          <w:bottom w:val="single" w:color="2E75B6" w:sz="6" w:space="4"/>
        </w:pBdr>
        <w:spacing w:after="120" w:before="360"/>
      </w:pPr>
      <w:r>
        <w:rPr>
          <w:rFonts w:ascii="Arial" w:cs="Arial" w:eastAsia="Arial" w:hAnsi="Arial"/>
          <w:b/>
          <w:bCs/>
          <w:color w:val="1E3A5F"/>
          <w:sz w:val="28"/>
          <w:szCs w:val="28"/>
        </w:rPr>
        <w:t xml:space="preserve">1. Executive Summary</w:t>
      </w:r>
    </w:p>
    <w:p>
      <w:pPr>
        <w:spacing w:after="80" w:before="60"/>
      </w:pPr>
      <w:r>
        <w:rPr>
          <w:rFonts w:ascii="Arial" w:cs="Arial" w:eastAsia="Arial" w:hAnsi="Arial"/>
          <w:color w:val="333333"/>
          <w:sz w:val="22"/>
          <w:szCs w:val="22"/>
        </w:rPr>
        <w:t xml:space="preserve">gitwhy is a CLI tool — invoked as ghw — that wraps and extends the GitHub CLI (gh) with a provenance and intent layer built for the age of AI-generated code. Every commit, PR, and code review carries hidden context: why was this change made, what prompted it, was it human-authored or AI-generated, and does it still match the original intent?</w:t>
      </w:r>
    </w:p>
    <w:p>
      <w:pPr>
        <w:spacing w:after="60" w:before="0"/>
      </w:pPr>
      <w:r>
        <w:t xml:space="preserve"/>
      </w:r>
    </w:p>
    <w:p>
      <w:pPr>
        <w:spacing w:after="80" w:before="60"/>
      </w:pPr>
      <w:r>
        <w:rPr>
          <w:rFonts w:ascii="Arial" w:cs="Arial" w:eastAsia="Arial" w:hAnsi="Arial"/>
          <w:color w:val="333333"/>
          <w:sz w:val="22"/>
          <w:szCs w:val="22"/>
        </w:rPr>
        <w:t xml:space="preserve">ghw makes that context first-class. Engineers type ghw instead of gh and get all the same GitHub operations plus structured intent capture, AI attribution, drift detection, and traceable provenance — without changing their workflow.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none" w:color="FFFFFF" w:sz="0"/>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THESIS</w:t>
            </w:r>
          </w:p>
        </w:tc>
        <w:tc>
          <w:tcPr>
            <w:tcW w:type="dxa" w:w="8160"/>
            <w:tcBorders>
              <w:top w:val="single" w:color="CCCCCC" w:sz="1"/>
              <w:left w:val="none" w:color="FFFFFF" w:sz="0"/>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333333"/>
                <w:sz w:val="20"/>
                <w:szCs w:val="20"/>
              </w:rPr>
              <w:t xml:space="preserve">Code is increasingly generated, not written. The tools that govern it must understand why, not just what.</w:t>
            </w:r>
          </w:p>
        </w:tc>
      </w:tr>
    </w:tbl>
    <w:p>
      <w:pPr>
        <w:spacing w:after="60" w:before="0"/>
      </w:pPr>
      <w:r>
        <w:t xml:space="preserve"/>
      </w:r>
    </w:p>
    <w:p>
      <w:pPr>
        <w:pBdr>
          <w:bottom w:val="single" w:color="CCCCCC" w:sz="3"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28"/>
          <w:szCs w:val="28"/>
        </w:rPr>
        <w:t xml:space="preserve">2. Problem Statement</w:t>
      </w:r>
    </w:p>
    <w:p>
      <w:pPr>
        <w:pStyle w:val="Heading2"/>
        <w:spacing w:after="80" w:before="280"/>
      </w:pPr>
      <w:r>
        <w:rPr>
          <w:rFonts w:ascii="Arial" w:cs="Arial" w:eastAsia="Arial" w:hAnsi="Arial"/>
          <w:b/>
          <w:bCs/>
          <w:color w:val="2E75B6"/>
          <w:sz w:val="24"/>
          <w:szCs w:val="24"/>
        </w:rPr>
        <w:t xml:space="preserve">2.1 The Context Gap</w:t>
      </w:r>
    </w:p>
    <w:p>
      <w:pPr>
        <w:spacing w:after="80" w:before="60"/>
      </w:pPr>
      <w:r>
        <w:rPr>
          <w:rFonts w:ascii="Arial" w:cs="Arial" w:eastAsia="Arial" w:hAnsi="Arial"/>
          <w:color w:val="333333"/>
          <w:sz w:val="22"/>
          <w:szCs w:val="22"/>
        </w:rPr>
        <w:t xml:space="preserve">Modern software teams ship fast, iterate faster, and increasingly rely on AI assistants, spec-driven generators, and automated workflows to produce code at scale. But the commit history they leave behind is as opaque as ever: message strings, diffs, and timestamps. Nothing answers the questions that actually matter during review, debugging, or audit:</w:t>
      </w:r>
    </w:p>
    <w:p>
      <w:pPr>
        <w:spacing w:after="6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Why was this written this way?</w:t>
      </w:r>
    </w:p>
    <w:p>
      <w:pPr>
        <w:pStyle w:val="ListParagraph"/>
        <w:numPr>
          <w:ilvl w:val="0"/>
          <w:numId w:val="2"/>
        </w:numPr>
        <w:spacing w:after="40" w:before="40"/>
      </w:pPr>
      <w:r>
        <w:rPr>
          <w:rFonts w:ascii="Arial" w:cs="Arial" w:eastAsia="Arial" w:hAnsi="Arial"/>
          <w:color w:val="333333"/>
          <w:sz w:val="22"/>
          <w:szCs w:val="22"/>
        </w:rPr>
        <w:t xml:space="preserve">Was this human judgment or model output?</w:t>
      </w:r>
    </w:p>
    <w:p>
      <w:pPr>
        <w:pStyle w:val="ListParagraph"/>
        <w:numPr>
          <w:ilvl w:val="0"/>
          <w:numId w:val="2"/>
        </w:numPr>
        <w:spacing w:after="40" w:before="40"/>
      </w:pPr>
      <w:r>
        <w:rPr>
          <w:rFonts w:ascii="Arial" w:cs="Arial" w:eastAsia="Arial" w:hAnsi="Arial"/>
          <w:color w:val="333333"/>
          <w:sz w:val="22"/>
          <w:szCs w:val="22"/>
        </w:rPr>
        <w:t xml:space="preserve">Has this code drifted from the spec that generated it?</w:t>
      </w:r>
    </w:p>
    <w:p>
      <w:pPr>
        <w:pStyle w:val="ListParagraph"/>
        <w:numPr>
          <w:ilvl w:val="0"/>
          <w:numId w:val="2"/>
        </w:numPr>
        <w:spacing w:after="40" w:before="40"/>
      </w:pPr>
      <w:r>
        <w:rPr>
          <w:rFonts w:ascii="Arial" w:cs="Arial" w:eastAsia="Arial" w:hAnsi="Arial"/>
          <w:color w:val="333333"/>
          <w:sz w:val="22"/>
          <w:szCs w:val="22"/>
        </w:rPr>
        <w:t xml:space="preserve">Who (or what) is accountable for this change?</w:t>
      </w:r>
    </w:p>
    <w:p>
      <w:pPr>
        <w:spacing w:after="60" w:before="0"/>
      </w:pPr>
      <w:r>
        <w:t xml:space="preserve"/>
      </w:r>
    </w:p>
    <w:p>
      <w:pPr>
        <w:spacing w:after="80" w:before="60"/>
      </w:pPr>
      <w:r>
        <w:rPr>
          <w:rFonts w:ascii="Arial" w:cs="Arial" w:eastAsia="Arial" w:hAnsi="Arial"/>
          <w:color w:val="333333"/>
          <w:sz w:val="22"/>
          <w:szCs w:val="22"/>
        </w:rPr>
        <w:t xml:space="preserve">This is not a tooling gap that better commit discipline can fix. When AI generates 30–70% of the code in a repository, the mental model of a commit-as-human-decision breaks down entirely.</w:t>
      </w:r>
    </w:p>
    <w:p>
      <w:pPr>
        <w:pStyle w:val="Heading2"/>
        <w:spacing w:after="80" w:before="280"/>
      </w:pPr>
      <w:r>
        <w:rPr>
          <w:rFonts w:ascii="Arial" w:cs="Arial" w:eastAsia="Arial" w:hAnsi="Arial"/>
          <w:b/>
          <w:bCs/>
          <w:color w:val="2E75B6"/>
          <w:sz w:val="24"/>
          <w:szCs w:val="24"/>
        </w:rPr>
        <w:t xml:space="preserve">2.2 The gh Gap</w:t>
      </w:r>
    </w:p>
    <w:p>
      <w:pPr>
        <w:spacing w:after="80" w:before="60"/>
      </w:pPr>
      <w:r>
        <w:rPr>
          <w:rFonts w:ascii="Arial" w:cs="Arial" w:eastAsia="Arial" w:hAnsi="Arial"/>
          <w:color w:val="333333"/>
          <w:sz w:val="22"/>
          <w:szCs w:val="22"/>
        </w:rPr>
        <w:t xml:space="preserve">The GitHub CLI (gh) is excellent at GitHub operations: PRs, issues, releases, auth. But it has no awareness of intent, provenance, or AI involvement. It treats all code as equivalent — a typed character and a generated block are indistinguishable.</w:t>
      </w:r>
    </w:p>
    <w:p>
      <w:pPr>
        <w:spacing w:after="60" w:before="0"/>
      </w:pPr>
      <w:r>
        <w:t xml:space="preserve"/>
      </w:r>
    </w:p>
    <w:p>
      <w:pPr>
        <w:spacing w:after="80" w:before="60"/>
      </w:pPr>
      <w:r>
        <w:rPr>
          <w:rFonts w:ascii="Arial" w:cs="Arial" w:eastAsia="Arial" w:hAnsi="Arial"/>
          <w:color w:val="333333"/>
          <w:sz w:val="22"/>
          <w:szCs w:val="22"/>
        </w:rPr>
        <w:t xml:space="preserve">ghw fills that gap without replacing gh. It extends the surface, not the substrate.</w:t>
      </w:r>
    </w:p>
    <w:p>
      <w:pPr>
        <w:pStyle w:val="Heading2"/>
        <w:spacing w:after="80" w:before="280"/>
      </w:pPr>
      <w:r>
        <w:rPr>
          <w:rFonts w:ascii="Arial" w:cs="Arial" w:eastAsia="Arial" w:hAnsi="Arial"/>
          <w:b/>
          <w:bCs/>
          <w:color w:val="2E75B6"/>
          <w:sz w:val="24"/>
          <w:szCs w:val="24"/>
        </w:rPr>
        <w:t xml:space="preserve">2.3 The Cost of Ignorance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Current Pain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Incident review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Can't distinguish a confident intentional choice from an AI hallucination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Code review</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Reviewers approve diffs with no context on what prompted the 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Compliance audit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record of which code was human-authored vs. AI-generated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Drift detection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Code evolves away from original spec with no traceable path back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Onboarding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engineers inherit code with no rationale — tribal knowledge or nothing</w:t>
            </w:r>
          </w:p>
        </w:tc>
      </w:tr>
    </w:tbl>
    <w:p>
      <w:pPr>
        <w:spacing w:after="60" w:before="0"/>
      </w:pPr>
      <w:r>
        <w:t xml:space="preserve"/>
      </w:r>
    </w:p>
    <w:p>
      <w:pPr>
        <w:pBdr>
          <w:bottom w:val="single" w:color="CCCCCC" w:sz="3"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28"/>
          <w:szCs w:val="28"/>
        </w:rPr>
        <w:t xml:space="preserve">3. Product Vision</w:t>
      </w:r>
    </w:p>
    <w:p>
      <w:pPr>
        <w:pStyle w:val="Heading2"/>
        <w:spacing w:after="80" w:before="280"/>
      </w:pPr>
      <w:r>
        <w:rPr>
          <w:rFonts w:ascii="Arial" w:cs="Arial" w:eastAsia="Arial" w:hAnsi="Arial"/>
          <w:b/>
          <w:bCs/>
          <w:color w:val="2E75B6"/>
          <w:sz w:val="24"/>
          <w:szCs w:val="24"/>
        </w:rPr>
        <w:t xml:space="preserve">3.1 North 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none" w:color="FFFFFF" w:sz="0"/>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VISION</w:t>
            </w:r>
          </w:p>
        </w:tc>
        <w:tc>
          <w:tcPr>
            <w:tcW w:type="dxa" w:w="8160"/>
            <w:tcBorders>
              <w:top w:val="single" w:color="CCCCCC" w:sz="1"/>
              <w:left w:val="none" w:color="FFFFFF" w:sz="0"/>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color w:val="333333"/>
                <w:sz w:val="20"/>
                <w:szCs w:val="20"/>
              </w:rPr>
              <w:t xml:space="preserve">ghw is the version of gh you use when you want the full picture — not just what changed, but why it changed, what generated it, and whether it still means what it was meant to.</w:t>
            </w:r>
          </w:p>
        </w:tc>
      </w:tr>
    </w:tbl>
    <w:p>
      <w:pPr>
        <w:spacing w:after="60" w:before="0"/>
      </w:pPr>
      <w:r>
        <w:t xml:space="preserve"/>
      </w:r>
    </w:p>
    <w:p>
      <w:pPr>
        <w:spacing w:after="80" w:before="60"/>
      </w:pPr>
      <w:r>
        <w:rPr>
          <w:rFonts w:ascii="Arial" w:cs="Arial" w:eastAsia="Arial" w:hAnsi="Arial"/>
          <w:color w:val="333333"/>
          <w:sz w:val="22"/>
          <w:szCs w:val="22"/>
        </w:rPr>
        <w:t xml:space="preserve">By 2027, ghw is the default CLI for teams building with AI-assisted development pipelines. It is the trust layer between agent output and the Git record.</w:t>
      </w:r>
    </w:p>
    <w:p>
      <w:pPr>
        <w:pStyle w:val="Heading2"/>
        <w:spacing w:after="80" w:before="280"/>
      </w:pPr>
      <w:r>
        <w:rPr>
          <w:rFonts w:ascii="Arial" w:cs="Arial" w:eastAsia="Arial" w:hAnsi="Arial"/>
          <w:b/>
          <w:bCs/>
          <w:color w:val="2E75B6"/>
          <w:sz w:val="24"/>
          <w:szCs w:val="24"/>
        </w:rPr>
        <w:t xml:space="preserve">3.2 Design Principles</w:t>
      </w:r>
    </w:p>
    <w:p>
      <w:pPr>
        <w:pStyle w:val="ListParagraph"/>
        <w:numPr>
          <w:ilvl w:val="0"/>
          <w:numId w:val="2"/>
        </w:numPr>
        <w:spacing w:after="40" w:before="40"/>
      </w:pPr>
      <w:r>
        <w:rPr>
          <w:rFonts w:ascii="Arial" w:cs="Arial" w:eastAsia="Arial" w:hAnsi="Arial"/>
          <w:color w:val="333333"/>
          <w:sz w:val="22"/>
          <w:szCs w:val="22"/>
        </w:rPr>
        <w:t xml:space="preserve">Drop-in for gh. ghw pr create works exactly like gh pr create — plus intent capture.</w:t>
      </w:r>
    </w:p>
    <w:p>
      <w:pPr>
        <w:pStyle w:val="ListParagraph"/>
        <w:numPr>
          <w:ilvl w:val="0"/>
          <w:numId w:val="2"/>
        </w:numPr>
        <w:spacing w:after="40" w:before="40"/>
      </w:pPr>
      <w:r>
        <w:rPr>
          <w:rFonts w:ascii="Arial" w:cs="Arial" w:eastAsia="Arial" w:hAnsi="Arial"/>
          <w:color w:val="333333"/>
          <w:sz w:val="22"/>
          <w:szCs w:val="22"/>
        </w:rPr>
        <w:t xml:space="preserve">Additive, never blocking. All provenance fields are optional and non-breaking.</w:t>
      </w:r>
    </w:p>
    <w:p>
      <w:pPr>
        <w:pStyle w:val="ListParagraph"/>
        <w:numPr>
          <w:ilvl w:val="0"/>
          <w:numId w:val="2"/>
        </w:numPr>
        <w:spacing w:after="40" w:before="40"/>
      </w:pPr>
      <w:r>
        <w:rPr>
          <w:rFonts w:ascii="Arial" w:cs="Arial" w:eastAsia="Arial" w:hAnsi="Arial"/>
          <w:color w:val="333333"/>
          <w:sz w:val="22"/>
          <w:szCs w:val="22"/>
        </w:rPr>
        <w:t xml:space="preserve">Structured by default. Intent is stored as queryable metadata, not free-text commits.</w:t>
      </w:r>
    </w:p>
    <w:p>
      <w:pPr>
        <w:pStyle w:val="ListParagraph"/>
        <w:numPr>
          <w:ilvl w:val="0"/>
          <w:numId w:val="2"/>
        </w:numPr>
        <w:spacing w:after="40" w:before="40"/>
      </w:pPr>
      <w:r>
        <w:rPr>
          <w:rFonts w:ascii="Arial" w:cs="Arial" w:eastAsia="Arial" w:hAnsi="Arial"/>
          <w:color w:val="333333"/>
          <w:sz w:val="22"/>
          <w:szCs w:val="22"/>
        </w:rPr>
        <w:t xml:space="preserve">Agent-native. ghw knows the difference between a human and an agent caller.</w:t>
      </w:r>
    </w:p>
    <w:p>
      <w:pPr>
        <w:pStyle w:val="ListParagraph"/>
        <w:numPr>
          <w:ilvl w:val="0"/>
          <w:numId w:val="2"/>
        </w:numPr>
        <w:spacing w:after="40" w:before="40"/>
      </w:pPr>
      <w:r>
        <w:rPr>
          <w:rFonts w:ascii="Arial" w:cs="Arial" w:eastAsia="Arial" w:hAnsi="Arial"/>
          <w:color w:val="333333"/>
          <w:sz w:val="22"/>
          <w:szCs w:val="22"/>
        </w:rPr>
        <w:t xml:space="preserve">Composable. ghw outputs are ingestible by CI, code review bots, and audit pipelines.</w:t>
      </w:r>
    </w:p>
    <w:p>
      <w:pPr>
        <w:spacing w:after="60" w:before="0"/>
      </w:pPr>
      <w:r>
        <w:t xml:space="preserve"/>
      </w:r>
    </w:p>
    <w:p>
      <w:pPr>
        <w:pBdr>
          <w:bottom w:val="single" w:color="CCCCCC" w:sz="3"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28"/>
          <w:szCs w:val="28"/>
        </w:rPr>
        <w:t xml:space="preserve">4. Target Users &amp; Use Cases</w:t>
      </w:r>
    </w:p>
    <w:p>
      <w:pPr>
        <w:pStyle w:val="Heading2"/>
        <w:spacing w:after="80" w:before="280"/>
      </w:pPr>
      <w:r>
        <w:rPr>
          <w:rFonts w:ascii="Arial" w:cs="Arial" w:eastAsia="Arial" w:hAnsi="Arial"/>
          <w:b/>
          <w:bCs/>
          <w:color w:val="2E75B6"/>
          <w:sz w:val="24"/>
          <w:szCs w:val="24"/>
        </w:rPr>
        <w:t xml:space="preserve">4.1 Primary Users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15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5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Engineers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Building AI-assisted code generation pipelines (BLUE, Copilot workflows)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Senior / Staff Engineers</w:t>
            </w:r>
          </w:p>
        </w:tc>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Reviewing AI-generated PRs, enforcing intent accountability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Agentic AI Systems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Committing and submitting PRs programmatically with provenance tags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Security / Compliance Teams</w:t>
            </w:r>
          </w:p>
        </w:tc>
        <w:tc>
          <w:tcPr>
            <w:tcW w:type="dxa" w:w="5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Auditing AI involvement in production code changes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Engineering Managers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Dashboarding code attribution and intent coverage metrics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bl>
    <w:p>
      <w:pPr>
        <w:pStyle w:val="Heading2"/>
        <w:spacing w:after="80" w:before="280"/>
      </w:pPr>
      <w:r>
        <w:rPr>
          <w:rFonts w:ascii="Arial" w:cs="Arial" w:eastAsia="Arial" w:hAnsi="Arial"/>
          <w:b/>
          <w:bCs/>
          <w:color w:val="2E75B6"/>
          <w:sz w:val="24"/>
          <w:szCs w:val="24"/>
        </w:rPr>
        <w:t xml:space="preserve">4.2 Key Use Cases</w:t>
      </w:r>
    </w:p>
    <w:p>
      <w:pPr>
        <w:spacing w:after="60" w:before="0"/>
      </w:pPr>
      <w:r>
        <w:t xml:space="preserve"/>
      </w:r>
    </w:p>
    <w:p>
      <w:pPr>
        <w:pStyle w:val="Heading3"/>
        <w:spacing w:after="60" w:before="200"/>
      </w:pPr>
      <w:r>
        <w:rPr>
          <w:rFonts w:ascii="Arial" w:cs="Arial" w:eastAsia="Arial" w:hAnsi="Arial"/>
          <w:b/>
          <w:bCs/>
          <w:color w:val="595959"/>
          <w:sz w:val="22"/>
          <w:szCs w:val="22"/>
        </w:rPr>
        <w:t xml:space="preserve">UC-01 — Intent-annotated PR creation</w:t>
      </w:r>
    </w:p>
    <w:p>
      <w:pPr>
        <w:spacing w:after="80" w:before="60"/>
      </w:pPr>
      <w:r>
        <w:rPr>
          <w:rFonts w:ascii="Arial" w:cs="Arial" w:eastAsia="Arial" w:hAnsi="Arial"/>
          <w:color w:val="333333"/>
          <w:sz w:val="22"/>
          <w:szCs w:val="22"/>
        </w:rPr>
        <w:t xml:space="preserve">An engineer runs ghw pr create and is prompted (or passes flags) to capture the intent behind the change: what was the driving spec, was the code human or AI authored, what ticket drove it. This is stored as structured metadata on the PR.</w:t>
      </w:r>
    </w:p>
    <w:p>
      <w:pPr>
        <w:spacing w:after="60" w:before="0"/>
      </w:pPr>
      <w:r>
        <w:t xml:space="preserve"/>
      </w:r>
    </w:p>
    <w:p>
      <w:pPr>
        <w:shd w:fill="1E1E1E" w:val="clear"/>
        <w:spacing w:after="20" w:before="20"/>
        <w:ind w:left="360" w:right="360"/>
      </w:pPr>
      <w:r>
        <w:rPr>
          <w:rFonts w:ascii="Courier New" w:cs="Courier New" w:eastAsia="Courier New" w:hAnsi="Courier New"/>
          <w:color w:val="D4D4D4"/>
          <w:sz w:val="20"/>
          <w:szCs w:val="20"/>
        </w:rPr>
        <w:t xml:space="preserve">ghw pr create --intent "refactor auth to support multi-tenant" --origin spec --spec BLUE-204</w:t>
      </w:r>
    </w:p>
    <w:p>
      <w:pPr>
        <w:spacing w:after="60" w:before="0"/>
      </w:pPr>
      <w:r>
        <w:t xml:space="preserve"/>
      </w:r>
    </w:p>
    <w:p>
      <w:pPr>
        <w:pStyle w:val="Heading3"/>
        <w:spacing w:after="60" w:before="200"/>
      </w:pPr>
      <w:r>
        <w:rPr>
          <w:rFonts w:ascii="Arial" w:cs="Arial" w:eastAsia="Arial" w:hAnsi="Arial"/>
          <w:b/>
          <w:bCs/>
          <w:color w:val="595959"/>
          <w:sz w:val="22"/>
          <w:szCs w:val="22"/>
        </w:rPr>
        <w:t xml:space="preserve">UC-02 — Commit with provenance</w:t>
      </w:r>
    </w:p>
    <w:p>
      <w:pPr>
        <w:spacing w:after="80" w:before="60"/>
      </w:pPr>
      <w:r>
        <w:rPr>
          <w:rFonts w:ascii="Arial" w:cs="Arial" w:eastAsia="Arial" w:hAnsi="Arial"/>
          <w:color w:val="333333"/>
          <w:sz w:val="22"/>
          <w:szCs w:val="22"/>
        </w:rPr>
        <w:t xml:space="preserve">An engineer or agent commits code with ghw commit. The tool records the generation method (human | copilot | agent:&lt;name&gt;), links to the prompt or spec that drove it, and stores a hash of the source spec at time of generation.</w:t>
      </w:r>
    </w:p>
    <w:p>
      <w:pPr>
        <w:spacing w:after="60" w:before="0"/>
      </w:pPr>
      <w:r>
        <w:t xml:space="preserve"/>
      </w:r>
    </w:p>
    <w:p>
      <w:pPr>
        <w:shd w:fill="1E1E1E" w:val="clear"/>
        <w:spacing w:after="20" w:before="20"/>
        <w:ind w:left="360" w:right="360"/>
      </w:pPr>
      <w:r>
        <w:rPr>
          <w:rFonts w:ascii="Courier New" w:cs="Courier New" w:eastAsia="Courier New" w:hAnsi="Courier New"/>
          <w:color w:val="D4D4D4"/>
          <w:sz w:val="20"/>
          <w:szCs w:val="20"/>
        </w:rPr>
        <w:t xml:space="preserve">ghw commit -m "add retry logic to allocation service" --by agent:blue --spec-hash abc123f</w:t>
      </w:r>
    </w:p>
    <w:p>
      <w:pPr>
        <w:spacing w:after="60" w:before="0"/>
      </w:pPr>
      <w:r>
        <w:t xml:space="preserve"/>
      </w:r>
    </w:p>
    <w:p>
      <w:pPr>
        <w:pStyle w:val="Heading3"/>
        <w:spacing w:after="60" w:before="200"/>
      </w:pPr>
      <w:r>
        <w:rPr>
          <w:rFonts w:ascii="Arial" w:cs="Arial" w:eastAsia="Arial" w:hAnsi="Arial"/>
          <w:b/>
          <w:bCs/>
          <w:color w:val="595959"/>
          <w:sz w:val="22"/>
          <w:szCs w:val="22"/>
        </w:rPr>
        <w:t xml:space="preserve">UC-03 — Drift detection</w:t>
      </w:r>
    </w:p>
    <w:p>
      <w:pPr>
        <w:spacing w:after="80" w:before="60"/>
      </w:pPr>
      <w:r>
        <w:rPr>
          <w:rFonts w:ascii="Arial" w:cs="Arial" w:eastAsia="Arial" w:hAnsi="Arial"/>
          <w:color w:val="333333"/>
          <w:sz w:val="22"/>
          <w:szCs w:val="22"/>
        </w:rPr>
        <w:t xml:space="preserve">ghw diff --drift compares the current state of a file or module against its originating spec. It flags cases where the implementation has diverged from the spec that generated it — without the spec having been updated.</w:t>
      </w:r>
    </w:p>
    <w:p>
      <w:pPr>
        <w:spacing w:after="60" w:before="0"/>
      </w:pPr>
      <w:r>
        <w:t xml:space="preserve"/>
      </w:r>
    </w:p>
    <w:p>
      <w:pPr>
        <w:shd w:fill="1E1E1E" w:val="clear"/>
        <w:spacing w:after="20" w:before="20"/>
        <w:ind w:left="360" w:right="360"/>
      </w:pPr>
      <w:r>
        <w:rPr>
          <w:rFonts w:ascii="Courier New" w:cs="Courier New" w:eastAsia="Courier New" w:hAnsi="Courier New"/>
          <w:color w:val="D4D4D4"/>
          <w:sz w:val="20"/>
          <w:szCs w:val="20"/>
        </w:rPr>
        <w:t xml:space="preserve">ghw diff --drift src/allocation/retry.ts --spec BLUE-204</w:t>
      </w:r>
    </w:p>
    <w:p>
      <w:pPr>
        <w:spacing w:after="60" w:before="0"/>
      </w:pPr>
      <w:r>
        <w:t xml:space="preserve"/>
      </w:r>
    </w:p>
    <w:p>
      <w:pPr>
        <w:pStyle w:val="Heading3"/>
        <w:spacing w:after="60" w:before="200"/>
      </w:pPr>
      <w:r>
        <w:rPr>
          <w:rFonts w:ascii="Arial" w:cs="Arial" w:eastAsia="Arial" w:hAnsi="Arial"/>
          <w:b/>
          <w:bCs/>
          <w:color w:val="595959"/>
          <w:sz w:val="22"/>
          <w:szCs w:val="22"/>
        </w:rPr>
        <w:t xml:space="preserve">UC-04 — PR review with context</w:t>
      </w:r>
    </w:p>
    <w:p>
      <w:pPr>
        <w:spacing w:after="80" w:before="60"/>
      </w:pPr>
      <w:r>
        <w:rPr>
          <w:rFonts w:ascii="Arial" w:cs="Arial" w:eastAsia="Arial" w:hAnsi="Arial"/>
          <w:color w:val="333333"/>
          <w:sz w:val="22"/>
          <w:szCs w:val="22"/>
        </w:rPr>
        <w:t xml:space="preserve">ghw pr view &lt;id&gt; --why surfaces the intent metadata, attribution, and spec link alongside the normal PR body. Reviewers see why before they see what.</w:t>
      </w:r>
    </w:p>
    <w:p>
      <w:pPr>
        <w:spacing w:after="60" w:before="0"/>
      </w:pPr>
      <w:r>
        <w:t xml:space="preserve"/>
      </w:r>
    </w:p>
    <w:p>
      <w:pPr>
        <w:shd w:fill="1E1E1E" w:val="clear"/>
        <w:spacing w:after="20" w:before="20"/>
        <w:ind w:left="360" w:right="360"/>
      </w:pPr>
      <w:r>
        <w:rPr>
          <w:rFonts w:ascii="Courier New" w:cs="Courier New" w:eastAsia="Courier New" w:hAnsi="Courier New"/>
          <w:color w:val="D4D4D4"/>
          <w:sz w:val="20"/>
          <w:szCs w:val="20"/>
        </w:rPr>
        <w:t xml:space="preserve">ghw pr view 412 --why</w:t>
      </w:r>
    </w:p>
    <w:p>
      <w:pPr>
        <w:spacing w:after="60" w:before="0"/>
      </w:pPr>
      <w:r>
        <w:t xml:space="preserve"/>
      </w:r>
    </w:p>
    <w:p>
      <w:pPr>
        <w:pStyle w:val="Heading3"/>
        <w:spacing w:after="60" w:before="200"/>
      </w:pPr>
      <w:r>
        <w:rPr>
          <w:rFonts w:ascii="Arial" w:cs="Arial" w:eastAsia="Arial" w:hAnsi="Arial"/>
          <w:b/>
          <w:bCs/>
          <w:color w:val="595959"/>
          <w:sz w:val="22"/>
          <w:szCs w:val="22"/>
        </w:rPr>
        <w:t xml:space="preserve">UC-05 — Why history</w:t>
      </w:r>
    </w:p>
    <w:p>
      <w:pPr>
        <w:spacing w:after="80" w:before="60"/>
      </w:pPr>
      <w:r>
        <w:rPr>
          <w:rFonts w:ascii="Arial" w:cs="Arial" w:eastAsia="Arial" w:hAnsi="Arial"/>
          <w:color w:val="333333"/>
          <w:sz w:val="22"/>
          <w:szCs w:val="22"/>
        </w:rPr>
        <w:t xml:space="preserve">ghw log --why annotates standard git log output with intent metadata for commits that carry it. Useful for debugging, onboarding, and incident review.</w:t>
      </w:r>
    </w:p>
    <w:p>
      <w:pPr>
        <w:spacing w:after="60" w:before="0"/>
      </w:pPr>
      <w:r>
        <w:t xml:space="preserve"/>
      </w:r>
    </w:p>
    <w:p>
      <w:pPr>
        <w:shd w:fill="1E1E1E" w:val="clear"/>
        <w:spacing w:after="20" w:before="20"/>
        <w:ind w:left="360" w:right="360"/>
      </w:pPr>
      <w:r>
        <w:rPr>
          <w:rFonts w:ascii="Courier New" w:cs="Courier New" w:eastAsia="Courier New" w:hAnsi="Courier New"/>
          <w:color w:val="D4D4D4"/>
          <w:sz w:val="20"/>
          <w:szCs w:val="20"/>
        </w:rPr>
        <w:t xml:space="preserve">ghw log --why src/allocation/</w:t>
      </w:r>
    </w:p>
    <w:p>
      <w:pPr>
        <w:spacing w:after="60" w:before="0"/>
      </w:pPr>
      <w:r>
        <w:t xml:space="preserve"/>
      </w:r>
    </w:p>
    <w:p>
      <w:pPr>
        <w:pStyle w:val="Heading3"/>
        <w:spacing w:after="60" w:before="200"/>
      </w:pPr>
      <w:r>
        <w:rPr>
          <w:rFonts w:ascii="Arial" w:cs="Arial" w:eastAsia="Arial" w:hAnsi="Arial"/>
          <w:b/>
          <w:bCs/>
          <w:color w:val="595959"/>
          <w:sz w:val="22"/>
          <w:szCs w:val="22"/>
        </w:rPr>
        <w:t xml:space="preserve">UC-06 — Audit export</w:t>
      </w:r>
    </w:p>
    <w:p>
      <w:pPr>
        <w:spacing w:after="80" w:before="60"/>
      </w:pPr>
      <w:r>
        <w:rPr>
          <w:rFonts w:ascii="Arial" w:cs="Arial" w:eastAsia="Arial" w:hAnsi="Arial"/>
          <w:color w:val="333333"/>
          <w:sz w:val="22"/>
          <w:szCs w:val="22"/>
        </w:rPr>
        <w:t xml:space="preserve">ghw audit export generates a structured JSON or CSV report of all commits and PRs in a date range with provenance metadata: AI attribution percentage, spec coverage, drift flags.</w:t>
      </w:r>
    </w:p>
    <w:p>
      <w:pPr>
        <w:spacing w:after="60" w:before="0"/>
      </w:pPr>
      <w:r>
        <w:t xml:space="preserve"/>
      </w:r>
    </w:p>
    <w:p>
      <w:pPr>
        <w:shd w:fill="1E1E1E" w:val="clear"/>
        <w:spacing w:after="20" w:before="20"/>
        <w:ind w:left="360" w:right="360"/>
      </w:pPr>
      <w:r>
        <w:rPr>
          <w:rFonts w:ascii="Courier New" w:cs="Courier New" w:eastAsia="Courier New" w:hAnsi="Courier New"/>
          <w:color w:val="D4D4D4"/>
          <w:sz w:val="20"/>
          <w:szCs w:val="20"/>
        </w:rPr>
        <w:t xml:space="preserve">ghw audit export --from 2026-01-01 --to 2026-06-01 --format json &gt; audit.json</w:t>
      </w:r>
    </w:p>
    <w:p>
      <w:pPr>
        <w:spacing w:after="60" w:before="0"/>
      </w:pPr>
      <w:r>
        <w:t xml:space="preserve"/>
      </w:r>
    </w:p>
    <w:p>
      <w:pPr>
        <w:pBdr>
          <w:bottom w:val="single" w:color="CCCCCC" w:sz="3"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28"/>
          <w:szCs w:val="28"/>
        </w:rPr>
        <w:t xml:space="preserve">5. CLI Design</w:t>
      </w:r>
    </w:p>
    <w:p>
      <w:pPr>
        <w:pStyle w:val="Heading2"/>
        <w:spacing w:after="80" w:before="280"/>
      </w:pPr>
      <w:r>
        <w:rPr>
          <w:rFonts w:ascii="Arial" w:cs="Arial" w:eastAsia="Arial" w:hAnsi="Arial"/>
          <w:b/>
          <w:bCs/>
          <w:color w:val="2E75B6"/>
          <w:sz w:val="24"/>
          <w:szCs w:val="24"/>
        </w:rPr>
        <w:t xml:space="preserve">5.1 Command Structure</w:t>
      </w:r>
    </w:p>
    <w:p>
      <w:pPr>
        <w:spacing w:after="80" w:before="60"/>
      </w:pPr>
      <w:r>
        <w:rPr>
          <w:rFonts w:ascii="Arial" w:cs="Arial" w:eastAsia="Arial" w:hAnsi="Arial"/>
          <w:color w:val="333333"/>
          <w:sz w:val="22"/>
          <w:szCs w:val="22"/>
        </w:rPr>
        <w:t xml:space="preserve">ghw is a superset of gh. Every gh command is valid as a ghw command and behaves identically unless ghw adds new behavior or flags. The mapping is transparent — if ghw doesn't recognize a command as having gitwhy behavior, it passes it through to gh.</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none" w:color="FFFFFF" w:sz="0"/>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COMPAT</w:t>
            </w:r>
          </w:p>
        </w:tc>
        <w:tc>
          <w:tcPr>
            <w:tcW w:type="dxa" w:w="8160"/>
            <w:tcBorders>
              <w:top w:val="single" w:color="CCCCCC" w:sz="1"/>
              <w:left w:val="none" w:color="FFFFFF" w:sz="0"/>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color w:val="333333"/>
                <w:sz w:val="20"/>
                <w:szCs w:val="20"/>
              </w:rPr>
              <w:t xml:space="preserve">ghw is gh. Any team can alias gh=ghw with zero breakage. Adoption is frictionless.</w:t>
            </w:r>
          </w:p>
        </w:tc>
      </w:tr>
    </w:tbl>
    <w:p>
      <w:pPr>
        <w:spacing w:after="60" w:before="0"/>
      </w:pPr>
      <w:r>
        <w:t xml:space="preserve"/>
      </w:r>
    </w:p>
    <w:p>
      <w:pPr>
        <w:pStyle w:val="Heading2"/>
        <w:spacing w:after="80" w:before="280"/>
      </w:pPr>
      <w:r>
        <w:rPr>
          <w:rFonts w:ascii="Arial" w:cs="Arial" w:eastAsia="Arial" w:hAnsi="Arial"/>
          <w:b/>
          <w:bCs/>
          <w:color w:val="2E75B6"/>
          <w:sz w:val="24"/>
          <w:szCs w:val="24"/>
        </w:rPr>
        <w:t xml:space="preserve">5.2 Command Surface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ghw commit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 commit with provenance flags (--by, --spec, --spec-hash, --intent)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ghw pr create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gh pr create + intent capture flags (--intent, --origin, --spec, --agent)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ghw pr view &lt;id&gt; --why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Renders PR with intent metadata panel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ghw pr list --attributed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Lists PRs filtered by attribution type (human | ai | agent:&lt;name&gt;)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ghw diff --drift &lt;file&gt;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Compares file state against originating spec hash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ghw log --why [path]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git log annotated with intent metadata where present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ghw why &lt;commit&gt;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Shows full provenance record for a specific commit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ghw audit export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Exports provenance data as JSON/CSV for a date range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ghw audit 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Dashboard-style summary: AI%, spec coverage, drift flags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ghw init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Bootstraps gitwhy config in a repo (.gitwhy/config.yaml)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ghw 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Manages gitwhy settings, auth, storage backend</w:t>
            </w:r>
          </w:p>
        </w:tc>
      </w:tr>
    </w:tbl>
    <w:p>
      <w:pPr>
        <w:pStyle w:val="Heading2"/>
        <w:spacing w:after="80" w:before="280"/>
      </w:pPr>
      <w:r>
        <w:rPr>
          <w:rFonts w:ascii="Arial" w:cs="Arial" w:eastAsia="Arial" w:hAnsi="Arial"/>
          <w:b/>
          <w:bCs/>
          <w:color w:val="2E75B6"/>
          <w:sz w:val="24"/>
          <w:szCs w:val="24"/>
        </w:rPr>
        <w:t xml:space="preserve">5.3 Shared Flag Reference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6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--by &lt;attribution&gt;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Authorship: human | copilot | agent:&lt;name&gt; | pair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--intent &lt;text&gt;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Short natural-language description of the why behind this change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 &lt;id&gt;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Reference to the spec, ticket, or doc that drove this change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--spec-hash &lt;sha&gt;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Hash of spec content at time of generation (for drift detection)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--origin &lt;type&gt;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Origin type: human | spec | prompt | template | upstream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On view commands: render intent metadata alongside the standard output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--drift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diff: compare against originating spec, not just HEAD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--attributed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On list commands: filter or sort by attribution 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--format &lt;fmt&gt;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Output format: table | json | csv (where applicable)</w:t>
            </w:r>
          </w:p>
        </w:tc>
      </w:tr>
    </w:tbl>
    <w:p>
      <w:pPr>
        <w:pStyle w:val="Heading2"/>
        <w:spacing w:after="80" w:before="280"/>
      </w:pPr>
      <w:r>
        <w:rPr>
          <w:rFonts w:ascii="Arial" w:cs="Arial" w:eastAsia="Arial" w:hAnsi="Arial"/>
          <w:b/>
          <w:bCs/>
          <w:color w:val="2E75B6"/>
          <w:sz w:val="24"/>
          <w:szCs w:val="24"/>
        </w:rPr>
        <w:t xml:space="preserve">5.4 Passthrough Behavior</w:t>
      </w:r>
    </w:p>
    <w:p>
      <w:pPr>
        <w:spacing w:after="80" w:before="60"/>
      </w:pPr>
      <w:r>
        <w:rPr>
          <w:rFonts w:ascii="Arial" w:cs="Arial" w:eastAsia="Arial" w:hAnsi="Arial"/>
          <w:color w:val="333333"/>
          <w:sz w:val="22"/>
          <w:szCs w:val="22"/>
        </w:rPr>
        <w:t xml:space="preserve">Any command not listed in the gitwhy command surface is passed through to gh with all flags and args intact. ghw is transparent when it has nothing to add.</w:t>
      </w:r>
    </w:p>
    <w:p>
      <w:pPr>
        <w:spacing w:after="60" w:before="0"/>
      </w:pPr>
      <w:r>
        <w:t xml:space="preserve"/>
      </w:r>
    </w:p>
    <w:p>
      <w:pPr>
        <w:shd w:fill="1E1E1E" w:val="clear"/>
        <w:spacing w:after="20" w:before="20"/>
        <w:ind w:left="360" w:right="360"/>
      </w:pPr>
      <w:r>
        <w:rPr>
          <w:rFonts w:ascii="Courier New" w:cs="Courier New" w:eastAsia="Courier New" w:hAnsi="Courier New"/>
          <w:color w:val="6A9955"/>
          <w:sz w:val="20"/>
          <w:szCs w:val="20"/>
        </w:rPr>
        <w:t xml:space="preserve"># These are equivalent — ghw passes through to gh:</w:t>
      </w:r>
    </w:p>
    <w:p>
      <w:pPr>
        <w:shd w:fill="1E1E1E" w:val="clear"/>
        <w:spacing w:after="20" w:before="20"/>
        <w:ind w:left="360" w:right="360"/>
      </w:pPr>
      <w:r>
        <w:rPr>
          <w:rFonts w:ascii="Courier New" w:cs="Courier New" w:eastAsia="Courier New" w:hAnsi="Courier New"/>
          <w:color w:val="D4D4D4"/>
          <w:sz w:val="20"/>
          <w:szCs w:val="20"/>
        </w:rPr>
        <w:t xml:space="preserve">ghw issue list --label bug</w:t>
      </w:r>
    </w:p>
    <w:p>
      <w:pPr>
        <w:shd w:fill="1E1E1E" w:val="clear"/>
        <w:spacing w:after="20" w:before="20"/>
        <w:ind w:left="360" w:right="360"/>
      </w:pPr>
      <w:r>
        <w:rPr>
          <w:rFonts w:ascii="Courier New" w:cs="Courier New" w:eastAsia="Courier New" w:hAnsi="Courier New"/>
          <w:color w:val="D4D4D4"/>
          <w:sz w:val="20"/>
          <w:szCs w:val="20"/>
        </w:rPr>
        <w:t xml:space="preserve">gh issue list --label bug</w:t>
      </w:r>
    </w:p>
    <w:p>
      <w:pPr>
        <w:spacing w:after="60" w:before="0"/>
      </w:pPr>
      <w:r>
        <w:t xml:space="preserve"/>
      </w:r>
    </w:p>
    <w:p>
      <w:pPr>
        <w:shd w:fill="1E1E1E" w:val="clear"/>
        <w:spacing w:after="20" w:before="20"/>
        <w:ind w:left="360" w:right="360"/>
      </w:pPr>
      <w:r>
        <w:rPr>
          <w:rFonts w:ascii="Courier New" w:cs="Courier New" w:eastAsia="Courier New" w:hAnsi="Courier New"/>
          <w:color w:val="6A9955"/>
          <w:sz w:val="20"/>
          <w:szCs w:val="20"/>
        </w:rPr>
        <w:t xml:space="preserve"># ghw adds behavior here:</w:t>
      </w:r>
    </w:p>
    <w:p>
      <w:pPr>
        <w:shd w:fill="1E1E1E" w:val="clear"/>
        <w:spacing w:after="20" w:before="20"/>
        <w:ind w:left="360" w:right="360"/>
      </w:pPr>
      <w:r>
        <w:rPr>
          <w:rFonts w:ascii="Courier New" w:cs="Courier New" w:eastAsia="Courier New" w:hAnsi="Courier New"/>
          <w:color w:val="D4D4D4"/>
          <w:sz w:val="20"/>
          <w:szCs w:val="20"/>
        </w:rPr>
        <w:t xml:space="preserve">ghw pr create --intent "fix null auth in tenant middleware"</w:t>
      </w:r>
    </w:p>
    <w:p>
      <w:pPr>
        <w:spacing w:after="60" w:before="0"/>
      </w:pPr>
      <w:r>
        <w:t xml:space="preserve"/>
      </w:r>
    </w:p>
    <w:p>
      <w:pPr>
        <w:pBdr>
          <w:bottom w:val="single" w:color="CCCCCC" w:sz="3"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28"/>
          <w:szCs w:val="28"/>
        </w:rPr>
        <w:t xml:space="preserve">6. Provenance Data Model</w:t>
      </w:r>
    </w:p>
    <w:p>
      <w:pPr>
        <w:pStyle w:val="Heading2"/>
        <w:spacing w:after="80" w:before="280"/>
      </w:pPr>
      <w:r>
        <w:rPr>
          <w:rFonts w:ascii="Arial" w:cs="Arial" w:eastAsia="Arial" w:hAnsi="Arial"/>
          <w:b/>
          <w:bCs/>
          <w:color w:val="2E75B6"/>
          <w:sz w:val="24"/>
          <w:szCs w:val="24"/>
        </w:rPr>
        <w:t xml:space="preserve">6.1 Core Schema</w:t>
      </w:r>
    </w:p>
    <w:p>
      <w:pPr>
        <w:spacing w:after="80" w:before="60"/>
      </w:pPr>
      <w:r>
        <w:rPr>
          <w:rFonts w:ascii="Arial" w:cs="Arial" w:eastAsia="Arial" w:hAnsi="Arial"/>
          <w:color w:val="333333"/>
          <w:sz w:val="22"/>
          <w:szCs w:val="22"/>
        </w:rPr>
        <w:t xml:space="preserve">Each provenance record is a structured JSON object stored alongside or linked from the Git object it describes. The schema is versioned.</w:t>
      </w:r>
    </w:p>
    <w:p>
      <w:pPr>
        <w:spacing w:after="60" w:before="0"/>
      </w:pPr>
      <w:r>
        <w:t xml:space="preserve"/>
      </w:r>
    </w:p>
    <w:p>
      <w:pPr>
        <w:shd w:fill="1E1E1E" w:val="clear"/>
        <w:spacing w:after="20" w:before="20"/>
        <w:ind w:left="360" w:right="360"/>
      </w:pPr>
      <w:r>
        <w:rPr>
          <w:rFonts w:ascii="Courier New" w:cs="Courier New" w:eastAsia="Courier New" w:hAnsi="Courier New"/>
          <w:color w:val="D4D4D4"/>
          <w:sz w:val="20"/>
          <w:szCs w:val="20"/>
        </w:rPr>
        <w:t xml:space="preserve">{</w:t>
      </w:r>
    </w:p>
    <w:p>
      <w:pPr>
        <w:shd w:fill="1E1E1E" w:val="clear"/>
        <w:spacing w:after="20" w:before="20"/>
        <w:ind w:left="360" w:right="360"/>
      </w:pPr>
      <w:r>
        <w:rPr>
          <w:rFonts w:ascii="Courier New" w:cs="Courier New" w:eastAsia="Courier New" w:hAnsi="Courier New"/>
          <w:color w:val="D4D4D4"/>
          <w:sz w:val="20"/>
          <w:szCs w:val="20"/>
        </w:rPr>
        <w:t xml:space="preserve">  "schema": "gitwhy/v1",</w:t>
      </w:r>
    </w:p>
    <w:p>
      <w:pPr>
        <w:shd w:fill="1E1E1E" w:val="clear"/>
        <w:spacing w:after="20" w:before="20"/>
        <w:ind w:left="360" w:right="360"/>
      </w:pPr>
      <w:r>
        <w:rPr>
          <w:rFonts w:ascii="Courier New" w:cs="Courier New" w:eastAsia="Courier New" w:hAnsi="Courier New"/>
          <w:color w:val="D4D4D4"/>
          <w:sz w:val="20"/>
          <w:szCs w:val="20"/>
        </w:rPr>
        <w:t xml:space="preserve">  "target": {</w:t>
      </w:r>
    </w:p>
    <w:p>
      <w:pPr>
        <w:shd w:fill="1E1E1E" w:val="clear"/>
        <w:spacing w:after="20" w:before="20"/>
        <w:ind w:left="360" w:right="360"/>
      </w:pPr>
      <w:r>
        <w:rPr>
          <w:rFonts w:ascii="Courier New" w:cs="Courier New" w:eastAsia="Courier New" w:hAnsi="Courier New"/>
          <w:color w:val="D4D4D4"/>
          <w:sz w:val="20"/>
          <w:szCs w:val="20"/>
        </w:rPr>
        <w:t xml:space="preserve">    "type": "commit | pr",</w:t>
      </w:r>
    </w:p>
    <w:p>
      <w:pPr>
        <w:shd w:fill="1E1E1E" w:val="clear"/>
        <w:spacing w:after="20" w:before="20"/>
        <w:ind w:left="360" w:right="360"/>
      </w:pPr>
      <w:r>
        <w:rPr>
          <w:rFonts w:ascii="Courier New" w:cs="Courier New" w:eastAsia="Courier New" w:hAnsi="Courier New"/>
          <w:color w:val="D4D4D4"/>
          <w:sz w:val="20"/>
          <w:szCs w:val="20"/>
        </w:rPr>
        <w:t xml:space="preserve">    "ref": "&lt;sha or pr number&gt;"</w:t>
      </w:r>
    </w:p>
    <w:p>
      <w:pPr>
        <w:shd w:fill="1E1E1E" w:val="clear"/>
        <w:spacing w:after="20" w:before="20"/>
        <w:ind w:left="360" w:right="360"/>
      </w:pPr>
      <w:r>
        <w:rPr>
          <w:rFonts w:ascii="Courier New" w:cs="Courier New" w:eastAsia="Courier New" w:hAnsi="Courier New"/>
          <w:color w:val="D4D4D4"/>
          <w:sz w:val="20"/>
          <w:szCs w:val="20"/>
        </w:rPr>
        <w:t xml:space="preserve">  },</w:t>
      </w:r>
    </w:p>
    <w:p>
      <w:pPr>
        <w:shd w:fill="1E1E1E" w:val="clear"/>
        <w:spacing w:after="20" w:before="20"/>
        <w:ind w:left="360" w:right="360"/>
      </w:pPr>
      <w:r>
        <w:rPr>
          <w:rFonts w:ascii="Courier New" w:cs="Courier New" w:eastAsia="Courier New" w:hAnsi="Courier New"/>
          <w:color w:val="D4D4D4"/>
          <w:sz w:val="20"/>
          <w:szCs w:val="20"/>
        </w:rPr>
        <w:t xml:space="preserve">  "attribution": {</w:t>
      </w:r>
    </w:p>
    <w:p>
      <w:pPr>
        <w:shd w:fill="1E1E1E" w:val="clear"/>
        <w:spacing w:after="20" w:before="20"/>
        <w:ind w:left="360" w:right="360"/>
      </w:pPr>
      <w:r>
        <w:rPr>
          <w:rFonts w:ascii="Courier New" w:cs="Courier New" w:eastAsia="Courier New" w:hAnsi="Courier New"/>
          <w:color w:val="D4D4D4"/>
          <w:sz w:val="20"/>
          <w:szCs w:val="20"/>
        </w:rPr>
        <w:t xml:space="preserve">    "by": "human | copilot | agent:&lt;name&gt; | pair",</w:t>
      </w:r>
    </w:p>
    <w:p>
      <w:pPr>
        <w:shd w:fill="1E1E1E" w:val="clear"/>
        <w:spacing w:after="20" w:before="20"/>
        <w:ind w:left="360" w:right="360"/>
      </w:pPr>
      <w:r>
        <w:rPr>
          <w:rFonts w:ascii="Courier New" w:cs="Courier New" w:eastAsia="Courier New" w:hAnsi="Courier New"/>
          <w:color w:val="D4D4D4"/>
          <w:sz w:val="20"/>
          <w:szCs w:val="20"/>
        </w:rPr>
        <w:t xml:space="preserve">    "timestamp": "&lt;ISO 8601&gt;"</w:t>
      </w:r>
    </w:p>
    <w:p>
      <w:pPr>
        <w:shd w:fill="1E1E1E" w:val="clear"/>
        <w:spacing w:after="20" w:before="20"/>
        <w:ind w:left="360" w:right="360"/>
      </w:pPr>
      <w:r>
        <w:rPr>
          <w:rFonts w:ascii="Courier New" w:cs="Courier New" w:eastAsia="Courier New" w:hAnsi="Courier New"/>
          <w:color w:val="D4D4D4"/>
          <w:sz w:val="20"/>
          <w:szCs w:val="20"/>
        </w:rPr>
        <w:t xml:space="preserve">  },</w:t>
      </w:r>
    </w:p>
    <w:p>
      <w:pPr>
        <w:shd w:fill="1E1E1E" w:val="clear"/>
        <w:spacing w:after="20" w:before="20"/>
        <w:ind w:left="360" w:right="360"/>
      </w:pPr>
      <w:r>
        <w:rPr>
          <w:rFonts w:ascii="Courier New" w:cs="Courier New" w:eastAsia="Courier New" w:hAnsi="Courier New"/>
          <w:color w:val="D4D4D4"/>
          <w:sz w:val="20"/>
          <w:szCs w:val="20"/>
        </w:rPr>
        <w:t xml:space="preserve">  "intent": {</w:t>
      </w:r>
    </w:p>
    <w:p>
      <w:pPr>
        <w:shd w:fill="1E1E1E" w:val="clear"/>
        <w:spacing w:after="20" w:before="20"/>
        <w:ind w:left="360" w:right="360"/>
      </w:pPr>
      <w:r>
        <w:rPr>
          <w:rFonts w:ascii="Courier New" w:cs="Courier New" w:eastAsia="Courier New" w:hAnsi="Courier New"/>
          <w:color w:val="D4D4D4"/>
          <w:sz w:val="20"/>
          <w:szCs w:val="20"/>
        </w:rPr>
        <w:t xml:space="preserve">    "summary": "&lt;natural language why&gt;",</w:t>
      </w:r>
    </w:p>
    <w:p>
      <w:pPr>
        <w:shd w:fill="1E1E1E" w:val="clear"/>
        <w:spacing w:after="20" w:before="20"/>
        <w:ind w:left="360" w:right="360"/>
      </w:pPr>
      <w:r>
        <w:rPr>
          <w:rFonts w:ascii="Courier New" w:cs="Courier New" w:eastAsia="Courier New" w:hAnsi="Courier New"/>
          <w:color w:val="D4D4D4"/>
          <w:sz w:val="20"/>
          <w:szCs w:val="20"/>
        </w:rPr>
        <w:t xml:space="preserve">    "spec": "&lt;spec id or url&gt;",</w:t>
      </w:r>
    </w:p>
    <w:p>
      <w:pPr>
        <w:shd w:fill="1E1E1E" w:val="clear"/>
        <w:spacing w:after="20" w:before="20"/>
        <w:ind w:left="360" w:right="360"/>
      </w:pPr>
      <w:r>
        <w:rPr>
          <w:rFonts w:ascii="Courier New" w:cs="Courier New" w:eastAsia="Courier New" w:hAnsi="Courier New"/>
          <w:color w:val="D4D4D4"/>
          <w:sz w:val="20"/>
          <w:szCs w:val="20"/>
        </w:rPr>
        <w:t xml:space="preserve">    "spec_hash": "&lt;sha of spec at generation time&gt;",</w:t>
      </w:r>
    </w:p>
    <w:p>
      <w:pPr>
        <w:shd w:fill="1E1E1E" w:val="clear"/>
        <w:spacing w:after="20" w:before="20"/>
        <w:ind w:left="360" w:right="360"/>
      </w:pPr>
      <w:r>
        <w:rPr>
          <w:rFonts w:ascii="Courier New" w:cs="Courier New" w:eastAsia="Courier New" w:hAnsi="Courier New"/>
          <w:color w:val="D4D4D4"/>
          <w:sz w:val="20"/>
          <w:szCs w:val="20"/>
        </w:rPr>
        <w:t xml:space="preserve">    "origin": "human | spec | prompt | template | upstream"</w:t>
      </w:r>
    </w:p>
    <w:p>
      <w:pPr>
        <w:shd w:fill="1E1E1E" w:val="clear"/>
        <w:spacing w:after="20" w:before="20"/>
        <w:ind w:left="360" w:right="360"/>
      </w:pPr>
      <w:r>
        <w:rPr>
          <w:rFonts w:ascii="Courier New" w:cs="Courier New" w:eastAsia="Courier New" w:hAnsi="Courier New"/>
          <w:color w:val="D4D4D4"/>
          <w:sz w:val="20"/>
          <w:szCs w:val="20"/>
        </w:rPr>
        <w:t xml:space="preserve">  },</w:t>
      </w:r>
    </w:p>
    <w:p>
      <w:pPr>
        <w:shd w:fill="1E1E1E" w:val="clear"/>
        <w:spacing w:after="20" w:before="20"/>
        <w:ind w:left="360" w:right="360"/>
      </w:pPr>
      <w:r>
        <w:rPr>
          <w:rFonts w:ascii="Courier New" w:cs="Courier New" w:eastAsia="Courier New" w:hAnsi="Courier New"/>
          <w:color w:val="D4D4D4"/>
          <w:sz w:val="20"/>
          <w:szCs w:val="20"/>
        </w:rPr>
        <w:t xml:space="preserve">  "context": {</w:t>
      </w:r>
    </w:p>
    <w:p>
      <w:pPr>
        <w:shd w:fill="1E1E1E" w:val="clear"/>
        <w:spacing w:after="20" w:before="20"/>
        <w:ind w:left="360" w:right="360"/>
      </w:pPr>
      <w:r>
        <w:rPr>
          <w:rFonts w:ascii="Courier New" w:cs="Courier New" w:eastAsia="Courier New" w:hAnsi="Courier New"/>
          <w:color w:val="D4D4D4"/>
          <w:sz w:val="20"/>
          <w:szCs w:val="20"/>
        </w:rPr>
        <w:t xml:space="preserve">    "ticket": "&lt;jira/linear/gh issue&gt;",</w:t>
      </w:r>
    </w:p>
    <w:p>
      <w:pPr>
        <w:shd w:fill="1E1E1E" w:val="clear"/>
        <w:spacing w:after="20" w:before="20"/>
        <w:ind w:left="360" w:right="360"/>
      </w:pPr>
      <w:r>
        <w:rPr>
          <w:rFonts w:ascii="Courier New" w:cs="Courier New" w:eastAsia="Courier New" w:hAnsi="Courier New"/>
          <w:color w:val="D4D4D4"/>
          <w:sz w:val="20"/>
          <w:szCs w:val="20"/>
        </w:rPr>
        <w:t xml:space="preserve">    "prompt": "&lt;prompt used, if applicable&gt;",</w:t>
      </w:r>
    </w:p>
    <w:p>
      <w:pPr>
        <w:shd w:fill="1E1E1E" w:val="clear"/>
        <w:spacing w:after="20" w:before="20"/>
        <w:ind w:left="360" w:right="360"/>
      </w:pPr>
      <w:r>
        <w:rPr>
          <w:rFonts w:ascii="Courier New" w:cs="Courier New" w:eastAsia="Courier New" w:hAnsi="Courier New"/>
          <w:color w:val="D4D4D4"/>
          <w:sz w:val="20"/>
          <w:szCs w:val="20"/>
        </w:rPr>
        <w:t xml:space="preserve">    "model": "&lt;model name, if AI-generated&gt;"</w:t>
      </w:r>
    </w:p>
    <w:p>
      <w:pPr>
        <w:shd w:fill="1E1E1E" w:val="clear"/>
        <w:spacing w:after="20" w:before="20"/>
        <w:ind w:left="360" w:right="360"/>
      </w:pPr>
      <w:r>
        <w:rPr>
          <w:rFonts w:ascii="Courier New" w:cs="Courier New" w:eastAsia="Courier New" w:hAnsi="Courier New"/>
          <w:color w:val="D4D4D4"/>
          <w:sz w:val="20"/>
          <w:szCs w:val="20"/>
        </w:rPr>
        <w:t xml:space="preserve">  }</w:t>
      </w:r>
    </w:p>
    <w:p>
      <w:pPr>
        <w:shd w:fill="1E1E1E" w:val="clear"/>
        <w:spacing w:after="20" w:before="20"/>
        <w:ind w:left="360" w:right="360"/>
      </w:pPr>
      <w:r>
        <w:rPr>
          <w:rFonts w:ascii="Courier New" w:cs="Courier New" w:eastAsia="Courier New" w:hAnsi="Courier New"/>
          <w:color w:val="D4D4D4"/>
          <w:sz w:val="20"/>
          <w:szCs w:val="20"/>
        </w:rPr>
        <w:t xml:space="preserve">}</w:t>
      </w:r>
    </w:p>
    <w:p>
      <w:pPr>
        <w:spacing w:after="60" w:before="0"/>
      </w:pPr>
      <w:r>
        <w:t xml:space="preserve"/>
      </w:r>
    </w:p>
    <w:p>
      <w:pPr>
        <w:pStyle w:val="Heading2"/>
        <w:spacing w:after="80" w:before="280"/>
      </w:pPr>
      <w:r>
        <w:rPr>
          <w:rFonts w:ascii="Arial" w:cs="Arial" w:eastAsia="Arial" w:hAnsi="Arial"/>
          <w:b/>
          <w:bCs/>
          <w:color w:val="2E75B6"/>
          <w:sz w:val="24"/>
          <w:szCs w:val="24"/>
        </w:rPr>
        <w:t xml:space="preserve">6.2 Storage Backends</w:t>
      </w:r>
    </w:p>
    <w:p>
      <w:pPr>
        <w:spacing w:after="80" w:before="60"/>
      </w:pPr>
      <w:r>
        <w:rPr>
          <w:rFonts w:ascii="Arial" w:cs="Arial" w:eastAsia="Arial" w:hAnsi="Arial"/>
          <w:color w:val="333333"/>
          <w:sz w:val="22"/>
          <w:szCs w:val="22"/>
        </w:rPr>
        <w:t xml:space="preserve">gitwhy supports multiple storage backends depending on team infrastructure and compliance requirements.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 notes (default)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Stored in refs/notes/gitwhy — travels with the repo, no external deps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GitHub PR metadata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Stored in PR description body (structured block) or custom properties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(.gitwhy/)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 sidecar files in a tracked .gitwhy/ directory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Remote API</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POST to a configurable gitwhy API endpoint (for enterprise audit trail)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none" w:color="FFFFFF" w:sz="0"/>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8160"/>
            <w:tcBorders>
              <w:top w:val="single" w:color="CCCCCC" w:sz="1"/>
              <w:left w:val="none" w:color="FFFFFF" w:sz="0"/>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color w:val="333333"/>
                <w:sz w:val="20"/>
                <w:szCs w:val="20"/>
              </w:rPr>
              <w:t xml:space="preserve">Git notes backend requires zero infrastructure. Teams can upgrade to remote API as they scale.</w:t>
            </w:r>
          </w:p>
        </w:tc>
      </w:tr>
    </w:tbl>
    <w:p>
      <w:pPr>
        <w:spacing w:after="60" w:before="0"/>
      </w:pPr>
      <w:r>
        <w:t xml:space="preserve"/>
      </w:r>
    </w:p>
    <w:p>
      <w:pPr>
        <w:pBdr>
          <w:bottom w:val="single" w:color="CCCCCC" w:sz="3"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28"/>
          <w:szCs w:val="28"/>
        </w:rPr>
        <w:t xml:space="preserve">7. Drift Detection</w:t>
      </w:r>
    </w:p>
    <w:p>
      <w:pPr>
        <w:pStyle w:val="Heading2"/>
        <w:spacing w:after="80" w:before="280"/>
      </w:pPr>
      <w:r>
        <w:rPr>
          <w:rFonts w:ascii="Arial" w:cs="Arial" w:eastAsia="Arial" w:hAnsi="Arial"/>
          <w:b/>
          <w:bCs/>
          <w:color w:val="2E75B6"/>
          <w:sz w:val="24"/>
          <w:szCs w:val="24"/>
        </w:rPr>
        <w:t xml:space="preserve">7.1 Concept</w:t>
      </w:r>
    </w:p>
    <w:p>
      <w:pPr>
        <w:spacing w:after="80" w:before="60"/>
      </w:pPr>
      <w:r>
        <w:rPr>
          <w:rFonts w:ascii="Arial" w:cs="Arial" w:eastAsia="Arial" w:hAnsi="Arial"/>
          <w:color w:val="333333"/>
          <w:sz w:val="22"/>
          <w:szCs w:val="22"/>
        </w:rPr>
        <w:t xml:space="preserve">When code is generated from a spec (a BLUE blueprint, an OpenAPI contract, an AI prompt), a snapshot of that spec is stored as a spec_hash alongside the generated code. Over time, the code may evolve via human edits or incremental AI changes. Drift detection identifies when the live code no longer matches the intent of its originating spec — even if the spec itself changed.</w:t>
      </w:r>
    </w:p>
    <w:p>
      <w:pPr>
        <w:pStyle w:val="Heading2"/>
        <w:spacing w:after="80" w:before="280"/>
      </w:pPr>
      <w:r>
        <w:rPr>
          <w:rFonts w:ascii="Arial" w:cs="Arial" w:eastAsia="Arial" w:hAnsi="Arial"/>
          <w:b/>
          <w:bCs/>
          <w:color w:val="2E75B6"/>
          <w:sz w:val="24"/>
          <w:szCs w:val="24"/>
        </w:rPr>
        <w:t xml:space="preserve">7.2 Detection Modes</w:t>
      </w:r>
    </w:p>
    <w:p>
      <w:pPr>
        <w:pStyle w:val="ListParagraph"/>
        <w:numPr>
          <w:ilvl w:val="0"/>
          <w:numId w:val="2"/>
        </w:numPr>
        <w:spacing w:after="40" w:before="40"/>
      </w:pPr>
      <w:r>
        <w:rPr>
          <w:rFonts w:ascii="Arial" w:cs="Arial" w:eastAsia="Arial" w:hAnsi="Arial"/>
          <w:color w:val="333333"/>
          <w:sz w:val="22"/>
          <w:szCs w:val="22"/>
        </w:rPr>
        <w:t xml:space="preserve">Spec hash comparison: current spec hash vs. recorded spec_hash at generation time</w:t>
      </w:r>
    </w:p>
    <w:p>
      <w:pPr>
        <w:pStyle w:val="ListParagraph"/>
        <w:numPr>
          <w:ilvl w:val="0"/>
          <w:numId w:val="2"/>
        </w:numPr>
        <w:spacing w:after="40" w:before="40"/>
      </w:pPr>
      <w:r>
        <w:rPr>
          <w:rFonts w:ascii="Arial" w:cs="Arial" w:eastAsia="Arial" w:hAnsi="Arial"/>
          <w:color w:val="333333"/>
          <w:sz w:val="22"/>
          <w:szCs w:val="22"/>
        </w:rPr>
        <w:t xml:space="preserve">Semantic diff: AI-assisted comparison of spec text vs. implementation text (Phase 2)</w:t>
      </w:r>
    </w:p>
    <w:p>
      <w:pPr>
        <w:pStyle w:val="ListParagraph"/>
        <w:numPr>
          <w:ilvl w:val="0"/>
          <w:numId w:val="2"/>
        </w:numPr>
        <w:spacing w:after="40" w:before="40"/>
      </w:pPr>
      <w:r>
        <w:rPr>
          <w:rFonts w:ascii="Arial" w:cs="Arial" w:eastAsia="Arial" w:hAnsi="Arial"/>
          <w:color w:val="333333"/>
          <w:sz w:val="22"/>
          <w:szCs w:val="22"/>
        </w:rPr>
        <w:t xml:space="preserve">Structural drift: detect when file structure diverges from spec-defined patterns</w:t>
      </w:r>
    </w:p>
    <w:p>
      <w:pPr>
        <w:spacing w:after="60" w:before="0"/>
      </w:pPr>
      <w:r>
        <w:t xml:space="preserve"/>
      </w:r>
    </w:p>
    <w:p>
      <w:pPr>
        <w:pStyle w:val="Heading2"/>
        <w:spacing w:after="80" w:before="280"/>
      </w:pPr>
      <w:r>
        <w:rPr>
          <w:rFonts w:ascii="Arial" w:cs="Arial" w:eastAsia="Arial" w:hAnsi="Arial"/>
          <w:b/>
          <w:bCs/>
          <w:color w:val="2E75B6"/>
          <w:sz w:val="24"/>
          <w:szCs w:val="24"/>
        </w:rPr>
        <w:t xml:space="preserve">7.3 Output</w:t>
      </w:r>
    </w:p>
    <w:p>
      <w:pPr>
        <w:spacing w:after="60" w:before="0"/>
      </w:pPr>
      <w:r>
        <w:t xml:space="preserve"/>
      </w:r>
    </w:p>
    <w:p>
      <w:pPr>
        <w:shd w:fill="1E1E1E" w:val="clear"/>
        <w:spacing w:after="20" w:before="20"/>
        <w:ind w:left="360" w:right="360"/>
      </w:pPr>
      <w:r>
        <w:rPr>
          <w:rFonts w:ascii="Courier New" w:cs="Courier New" w:eastAsia="Courier New" w:hAnsi="Courier New"/>
          <w:color w:val="D4D4D4"/>
          <w:sz w:val="20"/>
          <w:szCs w:val="20"/>
        </w:rPr>
        <w:t xml:space="preserve">$ ghw diff --drift src/auth/tenant.ts --spec BLUE-204</w:t>
      </w:r>
    </w:p>
    <w:p>
      <w:pPr>
        <w:spacing w:after="60" w:before="0"/>
      </w:pPr>
      <w:r>
        <w:t xml:space="preserve"/>
      </w:r>
    </w:p>
    <w:p>
      <w:pPr>
        <w:shd w:fill="1E1E1E" w:val="clear"/>
        <w:spacing w:after="20" w:before="20"/>
        <w:ind w:left="360" w:right="360"/>
      </w:pPr>
      <w:r>
        <w:rPr>
          <w:rFonts w:ascii="Courier New" w:cs="Courier New" w:eastAsia="Courier New" w:hAnsi="Courier New"/>
          <w:color w:val="D4D4D4"/>
          <w:sz w:val="20"/>
          <w:szCs w:val="20"/>
        </w:rPr>
        <w:t xml:space="preserve">  gitwhy drift report</w:t>
      </w:r>
    </w:p>
    <w:p>
      <w:pPr>
        <w:shd w:fill="1E1E1E" w:val="clear"/>
        <w:spacing w:after="20" w:before="20"/>
        <w:ind w:left="360" w:right="360"/>
      </w:pPr>
      <w:r>
        <w:rPr>
          <w:rFonts w:ascii="Courier New" w:cs="Courier New" w:eastAsia="Courier New" w:hAnsi="Courier New"/>
          <w:color w:val="D4D4D4"/>
          <w:sz w:val="20"/>
          <w:szCs w:val="20"/>
        </w:rPr>
        <w:t xml:space="preserve">  ─────────────────────────────────────────────</w:t>
      </w:r>
    </w:p>
    <w:p>
      <w:pPr>
        <w:shd w:fill="1E1E1E" w:val="clear"/>
        <w:spacing w:after="20" w:before="20"/>
        <w:ind w:left="360" w:right="360"/>
      </w:pPr>
      <w:r>
        <w:rPr>
          <w:rFonts w:ascii="Courier New" w:cs="Courier New" w:eastAsia="Courier New" w:hAnsi="Courier New"/>
          <w:color w:val="D4D4D4"/>
          <w:sz w:val="20"/>
          <w:szCs w:val="20"/>
        </w:rPr>
        <w:t xml:space="preserve">  file:       src/auth/tenant.ts</w:t>
      </w:r>
    </w:p>
    <w:p>
      <w:pPr>
        <w:shd w:fill="1E1E1E" w:val="clear"/>
        <w:spacing w:after="20" w:before="20"/>
        <w:ind w:left="360" w:right="360"/>
      </w:pPr>
      <w:r>
        <w:rPr>
          <w:rFonts w:ascii="Courier New" w:cs="Courier New" w:eastAsia="Courier New" w:hAnsi="Courier New"/>
          <w:color w:val="D4D4D4"/>
          <w:sz w:val="20"/>
          <w:szCs w:val="20"/>
        </w:rPr>
        <w:t xml:space="preserve">  spec:       BLUE-204 (auth/multi-tenant-spec.yaml)</w:t>
      </w:r>
    </w:p>
    <w:p>
      <w:pPr>
        <w:shd w:fill="1E1E1E" w:val="clear"/>
        <w:spacing w:after="20" w:before="20"/>
        <w:ind w:left="360" w:right="360"/>
      </w:pPr>
      <w:r>
        <w:rPr>
          <w:rFonts w:ascii="Courier New" w:cs="Courier New" w:eastAsia="Courier New" w:hAnsi="Courier New"/>
          <w:color w:val="D4D4D4"/>
          <w:sz w:val="20"/>
          <w:szCs w:val="20"/>
        </w:rPr>
        <w:t xml:space="preserve">  generated:  2026-03-14  by agent:blue</w:t>
      </w:r>
    </w:p>
    <w:p>
      <w:pPr>
        <w:shd w:fill="1E1E1E" w:val="clear"/>
        <w:spacing w:after="20" w:before="20"/>
        <w:ind w:left="360" w:right="360"/>
      </w:pPr>
      <w:r>
        <w:rPr>
          <w:rFonts w:ascii="Courier New" w:cs="Courier New" w:eastAsia="Courier New" w:hAnsi="Courier New"/>
          <w:color w:val="D4D4D4"/>
          <w:sz w:val="20"/>
          <w:szCs w:val="20"/>
        </w:rPr>
        <w:t xml:space="preserve">  spec hash:  abc123f  (at generation)</w:t>
      </w:r>
    </w:p>
    <w:p>
      <w:pPr>
        <w:shd w:fill="1E1E1E" w:val="clear"/>
        <w:spacing w:after="20" w:before="20"/>
        <w:ind w:left="360" w:right="360"/>
      </w:pPr>
      <w:r>
        <w:rPr>
          <w:rFonts w:ascii="Courier New" w:cs="Courier New" w:eastAsia="Courier New" w:hAnsi="Courier New"/>
          <w:color w:val="D4D4D4"/>
          <w:sz w:val="20"/>
          <w:szCs w:val="20"/>
        </w:rPr>
        <w:t xml:space="preserve">  spec hash:  def456a  (current)</w:t>
      </w:r>
    </w:p>
    <w:p>
      <w:pPr>
        <w:shd w:fill="1E1E1E" w:val="clear"/>
        <w:spacing w:after="20" w:before="20"/>
        <w:ind w:left="360" w:right="360"/>
      </w:pPr>
      <w:r>
        <w:rPr>
          <w:rFonts w:ascii="Courier New" w:cs="Courier New" w:eastAsia="Courier New" w:hAnsi="Courier New"/>
          <w:color w:val="D4D4D4"/>
          <w:sz w:val="20"/>
          <w:szCs w:val="20"/>
        </w:rPr>
        <w:t xml:space="preserve"/>
      </w:r>
    </w:p>
    <w:p>
      <w:pPr>
        <w:shd w:fill="1E1E1E" w:val="clear"/>
        <w:spacing w:after="20" w:before="20"/>
        <w:ind w:left="360" w:right="360"/>
      </w:pPr>
      <w:r>
        <w:rPr>
          <w:rFonts w:ascii="Courier New" w:cs="Courier New" w:eastAsia="Courier New" w:hAnsi="Courier New"/>
          <w:color w:val="D4D4D4"/>
          <w:sz w:val="20"/>
          <w:szCs w:val="20"/>
        </w:rPr>
        <w:t xml:space="preserve">  DRIFT DETECTED — spec has changed since code generation</w:t>
      </w:r>
    </w:p>
    <w:p>
      <w:pPr>
        <w:shd w:fill="1E1E1E" w:val="clear"/>
        <w:spacing w:after="20" w:before="20"/>
        <w:ind w:left="360" w:right="360"/>
      </w:pPr>
      <w:r>
        <w:rPr>
          <w:rFonts w:ascii="Courier New" w:cs="Courier New" w:eastAsia="Courier New" w:hAnsi="Courier New"/>
          <w:color w:val="D4D4D4"/>
          <w:sz w:val="20"/>
          <w:szCs w:val="20"/>
        </w:rPr>
        <w:t xml:space="preserve">  Lines affected: +47 in spec, not reflected in implementation</w:t>
      </w:r>
    </w:p>
    <w:p>
      <w:pPr>
        <w:shd w:fill="1E1E1E" w:val="clear"/>
        <w:spacing w:after="20" w:before="20"/>
        <w:ind w:left="360" w:right="360"/>
      </w:pPr>
      <w:r>
        <w:rPr>
          <w:rFonts w:ascii="Courier New" w:cs="Courier New" w:eastAsia="Courier New" w:hAnsi="Courier New"/>
          <w:color w:val="D4D4D4"/>
          <w:sz w:val="20"/>
          <w:szCs w:val="20"/>
        </w:rPr>
        <w:t xml:space="preserve">  Recommendation: regenerate or manually reconcile</w:t>
      </w:r>
    </w:p>
    <w:p>
      <w:pPr>
        <w:spacing w:after="60" w:before="0"/>
      </w:pPr>
      <w:r>
        <w:t xml:space="preserve"/>
      </w:r>
    </w:p>
    <w:p>
      <w:pPr>
        <w:pBdr>
          <w:bottom w:val="single" w:color="CCCCCC" w:sz="3"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28"/>
          <w:szCs w:val="28"/>
        </w:rPr>
        <w:t xml:space="preserve">8. Phased Delivery Plan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ghw CLI scaffolding, gh passthrough, ghw commit + pr create with --by, --intent flags. Git notes storage backend. ghw init and ghw config.</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Phase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Core Provenance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ghw why &lt;commit&gt;, ghw log --why, ghw pr view --why. Full schema v1 storage. GitHub PR metadata backend.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Drift Detection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ghw diff --drift. Spec hash recording at generation time. Drift report output.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Phase 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Audit &amp; Reporting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ghw audit export + summary. JSON/CSV output. Attribution analytics dashboard.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Native integration surface for BLUE, Copilot, and arbitrary agents. Agent identity verification. Remote API backend.</w:t>
            </w:r>
          </w:p>
        </w:tc>
      </w:tr>
    </w:tbl>
    <w:p>
      <w:pPr>
        <w:spacing w:after="60" w:before="0"/>
      </w:pPr>
      <w:r>
        <w:t xml:space="preserve"/>
      </w:r>
    </w:p>
    <w:p>
      <w:pPr>
        <w:pBdr>
          <w:bottom w:val="single" w:color="CCCCCC" w:sz="3"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28"/>
          <w:szCs w:val="28"/>
        </w:rPr>
        <w:t xml:space="preserve">9. Technical Architecture</w:t>
      </w:r>
    </w:p>
    <w:p>
      <w:pPr>
        <w:pStyle w:val="Heading2"/>
        <w:spacing w:after="80" w:before="280"/>
      </w:pPr>
      <w:r>
        <w:rPr>
          <w:rFonts w:ascii="Arial" w:cs="Arial" w:eastAsia="Arial" w:hAnsi="Arial"/>
          <w:b/>
          <w:bCs/>
          <w:color w:val="2E75B6"/>
          <w:sz w:val="24"/>
          <w:szCs w:val="24"/>
        </w:rPr>
        <w:t xml:space="preserve">9.1 Implementation Stack</w:t>
      </w:r>
    </w:p>
    <w:p>
      <w:pPr>
        <w:pStyle w:val="ListParagraph"/>
        <w:numPr>
          <w:ilvl w:val="0"/>
          <w:numId w:val="2"/>
        </w:numPr>
        <w:spacing w:after="40" w:before="40"/>
      </w:pPr>
      <w:r>
        <w:rPr>
          <w:rFonts w:ascii="Arial" w:cs="Arial" w:eastAsia="Arial" w:hAnsi="Arial"/>
          <w:color w:val="333333"/>
          <w:sz w:val="22"/>
          <w:szCs w:val="22"/>
        </w:rPr>
        <w:t xml:space="preserve">Language: Go (matches gh architecture, single binary, fast startup)</w:t>
      </w:r>
    </w:p>
    <w:p>
      <w:pPr>
        <w:pStyle w:val="ListParagraph"/>
        <w:numPr>
          <w:ilvl w:val="0"/>
          <w:numId w:val="2"/>
        </w:numPr>
        <w:spacing w:after="40" w:before="40"/>
      </w:pPr>
      <w:r>
        <w:rPr>
          <w:rFonts w:ascii="Arial" w:cs="Arial" w:eastAsia="Arial" w:hAnsi="Arial"/>
          <w:color w:val="333333"/>
          <w:sz w:val="22"/>
          <w:szCs w:val="22"/>
        </w:rPr>
        <w:t xml:space="preserve">Distribution: Homebrew tap, apt/yum repo, direct binary download, npm wrapper (ghw)</w:t>
      </w:r>
    </w:p>
    <w:p>
      <w:pPr>
        <w:pStyle w:val="ListParagraph"/>
        <w:numPr>
          <w:ilvl w:val="0"/>
          <w:numId w:val="2"/>
        </w:numPr>
        <w:spacing w:after="40" w:before="40"/>
      </w:pPr>
      <w:r>
        <w:rPr>
          <w:rFonts w:ascii="Arial" w:cs="Arial" w:eastAsia="Arial" w:hAnsi="Arial"/>
          <w:color w:val="333333"/>
          <w:sz w:val="22"/>
          <w:szCs w:val="22"/>
        </w:rPr>
        <w:t xml:space="preserve">gh integration: ghw embeds gh as a library or shells out — transparent passthrough</w:t>
      </w:r>
    </w:p>
    <w:p>
      <w:pPr>
        <w:pStyle w:val="ListParagraph"/>
        <w:numPr>
          <w:ilvl w:val="0"/>
          <w:numId w:val="2"/>
        </w:numPr>
        <w:spacing w:after="40" w:before="40"/>
      </w:pPr>
      <w:r>
        <w:rPr>
          <w:rFonts w:ascii="Arial" w:cs="Arial" w:eastAsia="Arial" w:hAnsi="Arial"/>
          <w:color w:val="333333"/>
          <w:sz w:val="22"/>
          <w:szCs w:val="22"/>
        </w:rPr>
        <w:t xml:space="preserve">Storage: pluggable backend via config (git notes default, API optional)</w:t>
      </w:r>
    </w:p>
    <w:p>
      <w:pPr>
        <w:pStyle w:val="ListParagraph"/>
        <w:numPr>
          <w:ilvl w:val="0"/>
          <w:numId w:val="2"/>
        </w:numPr>
        <w:spacing w:after="40" w:before="40"/>
      </w:pPr>
      <w:r>
        <w:rPr>
          <w:rFonts w:ascii="Arial" w:cs="Arial" w:eastAsia="Arial" w:hAnsi="Arial"/>
          <w:color w:val="333333"/>
          <w:sz w:val="22"/>
          <w:szCs w:val="22"/>
        </w:rPr>
        <w:t xml:space="preserve">Config: .gitwhy/config.yaml per-repo + ~/.config/gitwhy/config.yaml global</w:t>
      </w:r>
    </w:p>
    <w:p>
      <w:pPr>
        <w:spacing w:after="60" w:before="0"/>
      </w:pPr>
      <w:r>
        <w:t xml:space="preserve"/>
      </w:r>
    </w:p>
    <w:p>
      <w:pPr>
        <w:pStyle w:val="Heading2"/>
        <w:spacing w:after="80" w:before="280"/>
      </w:pPr>
      <w:r>
        <w:rPr>
          <w:rFonts w:ascii="Arial" w:cs="Arial" w:eastAsia="Arial" w:hAnsi="Arial"/>
          <w:b/>
          <w:bCs/>
          <w:color w:val="2E75B6"/>
          <w:sz w:val="24"/>
          <w:szCs w:val="24"/>
        </w:rPr>
        <w:t xml:space="preserve">9.2 Auth Model</w:t>
      </w:r>
    </w:p>
    <w:p>
      <w:pPr>
        <w:spacing w:after="80" w:before="60"/>
      </w:pPr>
      <w:r>
        <w:rPr>
          <w:rFonts w:ascii="Arial" w:cs="Arial" w:eastAsia="Arial" w:hAnsi="Arial"/>
          <w:color w:val="333333"/>
          <w:sz w:val="22"/>
          <w:szCs w:val="22"/>
        </w:rPr>
        <w:t xml:space="preserve">ghw reuses gh's authentication for all GitHub operations. For the remote API backend, ghw adds a separate gitwhy token scoped to provenance write/read. No re-auth required for passthrough commands.</w:t>
      </w:r>
    </w:p>
    <w:p>
      <w:pPr>
        <w:pStyle w:val="Heading2"/>
        <w:spacing w:after="80" w:before="280"/>
      </w:pPr>
      <w:r>
        <w:rPr>
          <w:rFonts w:ascii="Arial" w:cs="Arial" w:eastAsia="Arial" w:hAnsi="Arial"/>
          <w:b/>
          <w:bCs/>
          <w:color w:val="2E75B6"/>
          <w:sz w:val="24"/>
          <w:szCs w:val="24"/>
        </w:rPr>
        <w:t xml:space="preserve">9.3 Agent Caller Detection</w:t>
      </w:r>
    </w:p>
    <w:p>
      <w:pPr>
        <w:spacing w:after="80" w:before="60"/>
      </w:pPr>
      <w:r>
        <w:rPr>
          <w:rFonts w:ascii="Arial" w:cs="Arial" w:eastAsia="Arial" w:hAnsi="Arial"/>
          <w:color w:val="333333"/>
          <w:sz w:val="22"/>
          <w:szCs w:val="22"/>
        </w:rPr>
        <w:t xml:space="preserve">When called from an agent context (environment variables, caller flags, or API invocation), ghw automatically sets attribution to the appropriate agent identity. Human invocations default to human unless overridden.</w:t>
      </w:r>
    </w:p>
    <w:p>
      <w:pPr>
        <w:spacing w:after="60" w:before="0"/>
      </w:pPr>
      <w:r>
        <w:t xml:space="preserve"/>
      </w:r>
    </w:p>
    <w:p>
      <w:pPr>
        <w:shd w:fill="1E1E1E" w:val="clear"/>
        <w:spacing w:after="20" w:before="20"/>
        <w:ind w:left="360" w:right="360"/>
      </w:pPr>
      <w:r>
        <w:rPr>
          <w:rFonts w:ascii="Courier New" w:cs="Courier New" w:eastAsia="Courier New" w:hAnsi="Courier New"/>
          <w:color w:val="D4D4D4"/>
          <w:sz w:val="20"/>
          <w:szCs w:val="20"/>
        </w:rPr>
        <w:t xml:space="preserve"># Agent invocation — ghw detects GITWHY_AGENT env var</w:t>
      </w:r>
    </w:p>
    <w:p>
      <w:pPr>
        <w:shd w:fill="1E1E1E" w:val="clear"/>
        <w:spacing w:after="20" w:before="20"/>
        <w:ind w:left="360" w:right="360"/>
      </w:pPr>
      <w:r>
        <w:rPr>
          <w:rFonts w:ascii="Courier New" w:cs="Courier New" w:eastAsia="Courier New" w:hAnsi="Courier New"/>
          <w:color w:val="D4D4D4"/>
          <w:sz w:val="20"/>
          <w:szCs w:val="20"/>
        </w:rPr>
        <w:t xml:space="preserve">GITWHY_AGENT=blue ghw commit -m "generate retry logic" --spec BLUE-204</w:t>
      </w:r>
    </w:p>
    <w:p>
      <w:pPr>
        <w:spacing w:after="60" w:before="0"/>
      </w:pPr>
      <w:r>
        <w:t xml:space="preserve"/>
      </w:r>
    </w:p>
    <w:p>
      <w:pPr>
        <w:pBdr>
          <w:bottom w:val="single" w:color="CCCCCC" w:sz="3"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28"/>
          <w:szCs w:val="28"/>
        </w:rPr>
        <w:t xml:space="preserve">10. Non-Goals (v1)</w:t>
      </w:r>
    </w:p>
    <w:p>
      <w:pPr>
        <w:pStyle w:val="ListParagraph"/>
        <w:numPr>
          <w:ilvl w:val="0"/>
          <w:numId w:val="2"/>
        </w:numPr>
        <w:spacing w:after="40" w:before="40"/>
      </w:pPr>
      <w:r>
        <w:rPr>
          <w:rFonts w:ascii="Arial" w:cs="Arial" w:eastAsia="Arial" w:hAnsi="Arial"/>
          <w:color w:val="333333"/>
          <w:sz w:val="22"/>
          <w:szCs w:val="22"/>
        </w:rPr>
        <w:t xml:space="preserve">ghw is NOT a code review enforcement tool — it surfaces context, doesn't block</w:t>
      </w:r>
    </w:p>
    <w:p>
      <w:pPr>
        <w:pStyle w:val="ListParagraph"/>
        <w:numPr>
          <w:ilvl w:val="0"/>
          <w:numId w:val="2"/>
        </w:numPr>
        <w:spacing w:after="40" w:before="40"/>
      </w:pPr>
      <w:r>
        <w:rPr>
          <w:rFonts w:ascii="Arial" w:cs="Arial" w:eastAsia="Arial" w:hAnsi="Arial"/>
          <w:color w:val="333333"/>
          <w:sz w:val="22"/>
          <w:szCs w:val="22"/>
        </w:rPr>
        <w:t xml:space="preserve">ghw does NOT require AI involvement — it is fully useful for human-authored code</w:t>
      </w:r>
    </w:p>
    <w:p>
      <w:pPr>
        <w:pStyle w:val="ListParagraph"/>
        <w:numPr>
          <w:ilvl w:val="0"/>
          <w:numId w:val="2"/>
        </w:numPr>
        <w:spacing w:after="40" w:before="40"/>
      </w:pPr>
      <w:r>
        <w:rPr>
          <w:rFonts w:ascii="Arial" w:cs="Arial" w:eastAsia="Arial" w:hAnsi="Arial"/>
          <w:color w:val="333333"/>
          <w:sz w:val="22"/>
          <w:szCs w:val="22"/>
        </w:rPr>
        <w:t xml:space="preserve">ghw does NOT replace git — it composes with git, it doesn't abstract it</w:t>
      </w:r>
    </w:p>
    <w:p>
      <w:pPr>
        <w:pStyle w:val="ListParagraph"/>
        <w:numPr>
          <w:ilvl w:val="0"/>
          <w:numId w:val="2"/>
        </w:numPr>
        <w:spacing w:after="40" w:before="40"/>
      </w:pPr>
      <w:r>
        <w:rPr>
          <w:rFonts w:ascii="Arial" w:cs="Arial" w:eastAsia="Arial" w:hAnsi="Arial"/>
          <w:color w:val="333333"/>
          <w:sz w:val="22"/>
          <w:szCs w:val="22"/>
        </w:rPr>
        <w:t xml:space="preserve">ghw does NOT include a UI — CLI-first, integrations and dashboards are downstream</w:t>
      </w:r>
    </w:p>
    <w:p>
      <w:pPr>
        <w:pStyle w:val="ListParagraph"/>
        <w:numPr>
          <w:ilvl w:val="0"/>
          <w:numId w:val="2"/>
        </w:numPr>
        <w:spacing w:after="40" w:before="40"/>
      </w:pPr>
      <w:r>
        <w:rPr>
          <w:rFonts w:ascii="Arial" w:cs="Arial" w:eastAsia="Arial" w:hAnsi="Arial"/>
          <w:color w:val="333333"/>
          <w:sz w:val="22"/>
          <w:szCs w:val="22"/>
        </w:rPr>
        <w:t xml:space="preserve">ghw does NOT require internet connectivity for the default (git notes) backend</w:t>
      </w:r>
    </w:p>
    <w:p>
      <w:pPr>
        <w:spacing w:after="60" w:before="0"/>
      </w:pPr>
      <w:r>
        <w:t xml:space="preserve"/>
      </w:r>
    </w:p>
    <w:p>
      <w:pPr>
        <w:pBdr>
          <w:bottom w:val="single" w:color="CCCCCC" w:sz="3"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28"/>
          <w:szCs w:val="28"/>
        </w:rPr>
        <w:t xml:space="preserve">11. Success Metrics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Adoption velocity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ghw aliased as default CLI in ≥1 production team within 60 days of v0.1 release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Provenance coverage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≥60% of AI-generated commits carry intent metadata within 90 days of adoption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Drift detection 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Drift flag precision ≥85% (low false positive rate) in controlled test repos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Passthrough fidelity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100% of gh commands work identically under ghw (regression test suite)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Time-to-why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Engineers can answer "why was this written?" in &lt;30 seconds using ghw why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Audit completeness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ghw audit export covers 100% of commits in any date range with no gaps</w:t>
            </w:r>
          </w:p>
        </w:tc>
      </w:tr>
    </w:tbl>
    <w:p>
      <w:pPr>
        <w:spacing w:after="60" w:before="0"/>
      </w:pPr>
      <w:r>
        <w:t xml:space="preserve"/>
      </w:r>
    </w:p>
    <w:p>
      <w:pPr>
        <w:pBdr>
          <w:bottom w:val="single" w:color="CCCCCC" w:sz="3"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28"/>
          <w:szCs w:val="28"/>
        </w:rPr>
        <w:t xml:space="preserve">12. Open Questions</w:t>
      </w:r>
    </w:p>
    <w:p>
      <w:pPr>
        <w:pStyle w:val="ListParagraph"/>
        <w:numPr>
          <w:ilvl w:val="0"/>
          <w:numId w:val="2"/>
        </w:numPr>
        <w:spacing w:after="40" w:before="40"/>
      </w:pPr>
      <w:r>
        <w:rPr>
          <w:rFonts w:ascii="Arial" w:cs="Arial" w:eastAsia="Arial" w:hAnsi="Arial"/>
          <w:b w:val="false"/>
          <w:bCs w:val="false"/>
          <w:color w:val="333333"/>
          <w:sz w:val="22"/>
          <w:szCs w:val="22"/>
        </w:rPr>
        <w:t xml:space="preserve">Storage canonicalization: should git notes be the permanent canonical backend or a bootstrap?</w:t>
      </w:r>
    </w:p>
    <w:p>
      <w:pPr>
        <w:pStyle w:val="ListParagraph"/>
        <w:numPr>
          <w:ilvl w:val="0"/>
          <w:numId w:val="2"/>
        </w:numPr>
        <w:spacing w:after="40" w:before="40"/>
      </w:pPr>
      <w:r>
        <w:rPr>
          <w:rFonts w:ascii="Arial" w:cs="Arial" w:eastAsia="Arial" w:hAnsi="Arial"/>
          <w:color w:val="333333"/>
          <w:sz w:val="22"/>
          <w:szCs w:val="22"/>
        </w:rPr>
        <w:t xml:space="preserve">Retroactive provenance: can we infer/backfill intent for commits pre-dating gitwhy via AI analysis?</w:t>
      </w:r>
    </w:p>
    <w:p>
      <w:pPr>
        <w:pStyle w:val="ListParagraph"/>
        <w:numPr>
          <w:ilvl w:val="0"/>
          <w:numId w:val="2"/>
        </w:numPr>
        <w:spacing w:after="40" w:before="40"/>
      </w:pPr>
      <w:r>
        <w:rPr>
          <w:rFonts w:ascii="Arial" w:cs="Arial" w:eastAsia="Arial" w:hAnsi="Arial"/>
          <w:color w:val="333333"/>
          <w:sz w:val="22"/>
          <w:szCs w:val="22"/>
        </w:rPr>
        <w:t xml:space="preserve">Spec hash format: should spec_hash be content-addressable (SHA-256 of spec text) or a version pointer?</w:t>
      </w:r>
    </w:p>
    <w:p>
      <w:pPr>
        <w:pStyle w:val="ListParagraph"/>
        <w:numPr>
          <w:ilvl w:val="0"/>
          <w:numId w:val="2"/>
        </w:numPr>
        <w:spacing w:after="40" w:before="40"/>
      </w:pPr>
      <w:r>
        <w:rPr>
          <w:rFonts w:ascii="Arial" w:cs="Arial" w:eastAsia="Arial" w:hAnsi="Arial"/>
          <w:color w:val="333333"/>
          <w:sz w:val="22"/>
          <w:szCs w:val="22"/>
        </w:rPr>
        <w:t xml:space="preserve">OSS vs. commercial split: which features live in the open-source core vs. a commercial tier?</w:t>
      </w:r>
    </w:p>
    <w:p>
      <w:pPr>
        <w:pStyle w:val="ListParagraph"/>
        <w:numPr>
          <w:ilvl w:val="0"/>
          <w:numId w:val="2"/>
        </w:numPr>
        <w:spacing w:after="40" w:before="40"/>
      </w:pPr>
      <w:r>
        <w:rPr>
          <w:rFonts w:ascii="Arial" w:cs="Arial" w:eastAsia="Arial" w:hAnsi="Arial"/>
          <w:color w:val="333333"/>
          <w:sz w:val="22"/>
          <w:szCs w:val="22"/>
        </w:rPr>
        <w:t xml:space="preserve">BLUE integration depth: should gitwhy be built into the BLUE execution runtime, or remain an optional layer?</w:t>
      </w:r>
    </w:p>
    <w:p>
      <w:pPr>
        <w:pStyle w:val="ListParagraph"/>
        <w:numPr>
          <w:ilvl w:val="0"/>
          <w:numId w:val="2"/>
        </w:numPr>
        <w:spacing w:after="40" w:before="40"/>
      </w:pPr>
      <w:r>
        <w:rPr>
          <w:rFonts w:ascii="Arial" w:cs="Arial" w:eastAsia="Arial" w:hAnsi="Arial"/>
          <w:color w:val="333333"/>
          <w:sz w:val="22"/>
          <w:szCs w:val="22"/>
        </w:rPr>
        <w:t xml:space="preserve">Semantic drift: Phase 2 AI-assisted drift detection requires LLM integration — which model, what latency budget?</w:t>
      </w:r>
    </w:p>
    <w:p>
      <w:pPr>
        <w:spacing w:after="60" w:before="0"/>
      </w:pPr>
      <w:r>
        <w:t xml:space="preserve"/>
      </w:r>
    </w:p>
    <w:p>
      <w:pPr>
        <w:pBdr>
          <w:bottom w:val="single" w:color="CCCCCC" w:sz="3" w:space="1"/>
        </w:pBdr>
        <w:spacing w:after="160" w:before="160"/>
      </w:pPr>
      <w:r>
        <w:t xml:space="preserve"/>
      </w:r>
    </w:p>
    <w:p>
      <w:pPr>
        <w:pStyle w:val="Heading1"/>
        <w:pBdr>
          <w:bottom w:val="single" w:color="2E75B6" w:sz="6" w:space="4"/>
        </w:pBdr>
        <w:spacing w:after="120" w:before="360"/>
      </w:pPr>
      <w:r>
        <w:rPr>
          <w:rFonts w:ascii="Arial" w:cs="Arial" w:eastAsia="Arial" w:hAnsi="Arial"/>
          <w:b/>
          <w:bCs/>
          <w:color w:val="1E3A5F"/>
          <w:sz w:val="28"/>
          <w:szCs w:val="28"/>
        </w:rPr>
        <w:t xml:space="preserve">Appendix A — Example ghw Session</w:t>
      </w:r>
    </w:p>
    <w:p>
      <w:pPr>
        <w:spacing w:after="60" w:before="0"/>
      </w:pPr>
      <w:r>
        <w:t xml:space="preserve"/>
      </w:r>
    </w:p>
    <w:p>
      <w:pPr>
        <w:shd w:fill="1E1E1E" w:val="clear"/>
        <w:spacing w:after="20" w:before="20"/>
        <w:ind w:left="360" w:right="360"/>
      </w:pPr>
      <w:r>
        <w:rPr>
          <w:rFonts w:ascii="Courier New" w:cs="Courier New" w:eastAsia="Courier New" w:hAnsi="Courier New"/>
          <w:color w:val="6A9955"/>
          <w:sz w:val="20"/>
          <w:szCs w:val="20"/>
        </w:rPr>
        <w:t xml:space="preserve"># 1. Initialize gitwhy in a repo</w:t>
      </w:r>
    </w:p>
    <w:p>
      <w:pPr>
        <w:shd w:fill="1E1E1E" w:val="clear"/>
        <w:spacing w:after="20" w:before="20"/>
        <w:ind w:left="360" w:right="360"/>
      </w:pPr>
      <w:r>
        <w:rPr>
          <w:rFonts w:ascii="Courier New" w:cs="Courier New" w:eastAsia="Courier New" w:hAnsi="Courier New"/>
          <w:color w:val="D4D4D4"/>
          <w:sz w:val="20"/>
          <w:szCs w:val="20"/>
        </w:rPr>
        <w:t xml:space="preserve">$ ghw init</w:t>
      </w:r>
    </w:p>
    <w:p>
      <w:pPr>
        <w:shd w:fill="1E1E1E" w:val="clear"/>
        <w:spacing w:after="20" w:before="20"/>
        <w:ind w:left="360" w:right="360"/>
      </w:pPr>
      <w:r>
        <w:rPr>
          <w:rFonts w:ascii="Courier New" w:cs="Courier New" w:eastAsia="Courier New" w:hAnsi="Courier New"/>
          <w:color w:val="D4D4D4"/>
          <w:sz w:val="20"/>
          <w:szCs w:val="20"/>
        </w:rPr>
        <w:t xml:space="preserve">  gitwhy initialized in .gitwhy/config.yaml</w:t>
      </w:r>
    </w:p>
    <w:p>
      <w:pPr>
        <w:shd w:fill="1E1E1E" w:val="clear"/>
        <w:spacing w:after="20" w:before="20"/>
        <w:ind w:left="360" w:right="360"/>
      </w:pPr>
      <w:r>
        <w:rPr>
          <w:rFonts w:ascii="Courier New" w:cs="Courier New" w:eastAsia="Courier New" w:hAnsi="Courier New"/>
          <w:color w:val="D4D4D4"/>
          <w:sz w:val="20"/>
          <w:szCs w:val="20"/>
        </w:rPr>
        <w:t xml:space="preserve">  backend: git-notes</w:t>
      </w:r>
    </w:p>
    <w:p>
      <w:pPr>
        <w:spacing w:after="60" w:before="0"/>
      </w:pPr>
      <w:r>
        <w:t xml:space="preserve"/>
      </w:r>
    </w:p>
    <w:p>
      <w:pPr>
        <w:shd w:fill="1E1E1E" w:val="clear"/>
        <w:spacing w:after="20" w:before="20"/>
        <w:ind w:left="360" w:right="360"/>
      </w:pPr>
      <w:r>
        <w:rPr>
          <w:rFonts w:ascii="Courier New" w:cs="Courier New" w:eastAsia="Courier New" w:hAnsi="Courier New"/>
          <w:color w:val="6A9955"/>
          <w:sz w:val="20"/>
          <w:szCs w:val="20"/>
        </w:rPr>
        <w:t xml:space="preserve"># 2. Commit AI-generated code with intent</w:t>
      </w:r>
    </w:p>
    <w:p>
      <w:pPr>
        <w:shd w:fill="1E1E1E" w:val="clear"/>
        <w:spacing w:after="20" w:before="20"/>
        <w:ind w:left="360" w:right="360"/>
      </w:pPr>
      <w:r>
        <w:rPr>
          <w:rFonts w:ascii="Courier New" w:cs="Courier New" w:eastAsia="Courier New" w:hAnsi="Courier New"/>
          <w:color w:val="D4D4D4"/>
          <w:sz w:val="20"/>
          <w:szCs w:val="20"/>
        </w:rPr>
        <w:t xml:space="preserve">$ ghw commit -m "add retry logic to allocation service" \</w:t>
      </w:r>
    </w:p>
    <w:p>
      <w:pPr>
        <w:shd w:fill="1E1E1E" w:val="clear"/>
        <w:spacing w:after="20" w:before="20"/>
        <w:ind w:left="360" w:right="360"/>
      </w:pPr>
      <w:r>
        <w:rPr>
          <w:rFonts w:ascii="Courier New" w:cs="Courier New" w:eastAsia="Courier New" w:hAnsi="Courier New"/>
          <w:color w:val="D4D4D4"/>
          <w:sz w:val="20"/>
          <w:szCs w:val="20"/>
        </w:rPr>
        <w:t xml:space="preserve">    --by agent:blue \</w:t>
      </w:r>
    </w:p>
    <w:p>
      <w:pPr>
        <w:shd w:fill="1E1E1E" w:val="clear"/>
        <w:spacing w:after="20" w:before="20"/>
        <w:ind w:left="360" w:right="360"/>
      </w:pPr>
      <w:r>
        <w:rPr>
          <w:rFonts w:ascii="Courier New" w:cs="Courier New" w:eastAsia="Courier New" w:hAnsi="Courier New"/>
          <w:color w:val="D4D4D4"/>
          <w:sz w:val="20"/>
          <w:szCs w:val="20"/>
        </w:rPr>
        <w:t xml:space="preserve">    --intent "handle transient failures in vehicle allocation" \</w:t>
      </w:r>
    </w:p>
    <w:p>
      <w:pPr>
        <w:shd w:fill="1E1E1E" w:val="clear"/>
        <w:spacing w:after="20" w:before="20"/>
        <w:ind w:left="360" w:right="360"/>
      </w:pPr>
      <w:r>
        <w:rPr>
          <w:rFonts w:ascii="Courier New" w:cs="Courier New" w:eastAsia="Courier New" w:hAnsi="Courier New"/>
          <w:color w:val="D4D4D4"/>
          <w:sz w:val="20"/>
          <w:szCs w:val="20"/>
        </w:rPr>
        <w:t xml:space="preserve">    --spec BLUE-317 \</w:t>
      </w:r>
    </w:p>
    <w:p>
      <w:pPr>
        <w:shd w:fill="1E1E1E" w:val="clear"/>
        <w:spacing w:after="20" w:before="20"/>
        <w:ind w:left="360" w:right="360"/>
      </w:pPr>
      <w:r>
        <w:rPr>
          <w:rFonts w:ascii="Courier New" w:cs="Courier New" w:eastAsia="Courier New" w:hAnsi="Courier New"/>
          <w:color w:val="D4D4D4"/>
          <w:sz w:val="20"/>
          <w:szCs w:val="20"/>
        </w:rPr>
        <w:t xml:space="preserve">    --spec-hash a1b2c3d</w:t>
      </w:r>
    </w:p>
    <w:p>
      <w:pPr>
        <w:shd w:fill="1E1E1E" w:val="clear"/>
        <w:spacing w:after="20" w:before="20"/>
        <w:ind w:left="360" w:right="360"/>
      </w:pPr>
      <w:r>
        <w:rPr>
          <w:rFonts w:ascii="Courier New" w:cs="Courier New" w:eastAsia="Courier New" w:hAnsi="Courier New"/>
          <w:color w:val="D4D4D4"/>
          <w:sz w:val="20"/>
          <w:szCs w:val="20"/>
        </w:rPr>
        <w:t xml:space="preserve">  [main 4f2e1a9] add retry logic to allocation service</w:t>
      </w:r>
    </w:p>
    <w:p>
      <w:pPr>
        <w:shd w:fill="1E1E1E" w:val="clear"/>
        <w:spacing w:after="20" w:before="20"/>
        <w:ind w:left="360" w:right="360"/>
      </w:pPr>
      <w:r>
        <w:rPr>
          <w:rFonts w:ascii="Courier New" w:cs="Courier New" w:eastAsia="Courier New" w:hAnsi="Courier New"/>
          <w:color w:val="D4D4D4"/>
          <w:sz w:val="20"/>
          <w:szCs w:val="20"/>
        </w:rPr>
        <w:t xml:space="preserve">  gitwhy: provenance recorded (git-notes backend)</w:t>
      </w:r>
    </w:p>
    <w:p>
      <w:pPr>
        <w:spacing w:after="60" w:before="0"/>
      </w:pPr>
      <w:r>
        <w:t xml:space="preserve"/>
      </w:r>
    </w:p>
    <w:p>
      <w:pPr>
        <w:shd w:fill="1E1E1E" w:val="clear"/>
        <w:spacing w:after="20" w:before="20"/>
        <w:ind w:left="360" w:right="360"/>
      </w:pPr>
      <w:r>
        <w:rPr>
          <w:rFonts w:ascii="Courier New" w:cs="Courier New" w:eastAsia="Courier New" w:hAnsi="Courier New"/>
          <w:color w:val="6A9955"/>
          <w:sz w:val="20"/>
          <w:szCs w:val="20"/>
        </w:rPr>
        <w:t xml:space="preserve"># 3. Create a PR with intent captured</w:t>
      </w:r>
    </w:p>
    <w:p>
      <w:pPr>
        <w:shd w:fill="1E1E1E" w:val="clear"/>
        <w:spacing w:after="20" w:before="20"/>
        <w:ind w:left="360" w:right="360"/>
      </w:pPr>
      <w:r>
        <w:rPr>
          <w:rFonts w:ascii="Courier New" w:cs="Courier New" w:eastAsia="Courier New" w:hAnsi="Courier New"/>
          <w:color w:val="D4D4D4"/>
          <w:sz w:val="20"/>
          <w:szCs w:val="20"/>
        </w:rPr>
        <w:t xml:space="preserve">$ ghw pr create \</w:t>
      </w:r>
    </w:p>
    <w:p>
      <w:pPr>
        <w:shd w:fill="1E1E1E" w:val="clear"/>
        <w:spacing w:after="20" w:before="20"/>
        <w:ind w:left="360" w:right="360"/>
      </w:pPr>
      <w:r>
        <w:rPr>
          <w:rFonts w:ascii="Courier New" w:cs="Courier New" w:eastAsia="Courier New" w:hAnsi="Courier New"/>
          <w:color w:val="D4D4D4"/>
          <w:sz w:val="20"/>
          <w:szCs w:val="20"/>
        </w:rPr>
        <w:t xml:space="preserve">    --title "feat: retry logic for allocation service" \</w:t>
      </w:r>
    </w:p>
    <w:p>
      <w:pPr>
        <w:shd w:fill="1E1E1E" w:val="clear"/>
        <w:spacing w:after="20" w:before="20"/>
        <w:ind w:left="360" w:right="360"/>
      </w:pPr>
      <w:r>
        <w:rPr>
          <w:rFonts w:ascii="Courier New" w:cs="Courier New" w:eastAsia="Courier New" w:hAnsi="Courier New"/>
          <w:color w:val="D4D4D4"/>
          <w:sz w:val="20"/>
          <w:szCs w:val="20"/>
        </w:rPr>
        <w:t xml:space="preserve">    --body "Implements exponential backoff per BLUE-317" \</w:t>
      </w:r>
    </w:p>
    <w:p>
      <w:pPr>
        <w:shd w:fill="1E1E1E" w:val="clear"/>
        <w:spacing w:after="20" w:before="20"/>
        <w:ind w:left="360" w:right="360"/>
      </w:pPr>
      <w:r>
        <w:rPr>
          <w:rFonts w:ascii="Courier New" w:cs="Courier New" w:eastAsia="Courier New" w:hAnsi="Courier New"/>
          <w:color w:val="D4D4D4"/>
          <w:sz w:val="20"/>
          <w:szCs w:val="20"/>
        </w:rPr>
        <w:t xml:space="preserve">    --intent "reduce allocation failure rate under load" \</w:t>
      </w:r>
    </w:p>
    <w:p>
      <w:pPr>
        <w:shd w:fill="1E1E1E" w:val="clear"/>
        <w:spacing w:after="20" w:before="20"/>
        <w:ind w:left="360" w:right="360"/>
      </w:pPr>
      <w:r>
        <w:rPr>
          <w:rFonts w:ascii="Courier New" w:cs="Courier New" w:eastAsia="Courier New" w:hAnsi="Courier New"/>
          <w:color w:val="D4D4D4"/>
          <w:sz w:val="20"/>
          <w:szCs w:val="20"/>
        </w:rPr>
        <w:t xml:space="preserve">    --origin spec</w:t>
      </w:r>
    </w:p>
    <w:p>
      <w:pPr>
        <w:shd w:fill="1E1E1E" w:val="clear"/>
        <w:spacing w:after="20" w:before="20"/>
        <w:ind w:left="360" w:right="360"/>
      </w:pPr>
      <w:r>
        <w:rPr>
          <w:rFonts w:ascii="Courier New" w:cs="Courier New" w:eastAsia="Courier New" w:hAnsi="Courier New"/>
          <w:color w:val="D4D4D4"/>
          <w:sz w:val="20"/>
          <w:szCs w:val="20"/>
        </w:rPr>
        <w:t xml:space="preserve">  https://github.com/org/repo/pull/412</w:t>
      </w:r>
    </w:p>
    <w:p>
      <w:pPr>
        <w:spacing w:after="60" w:before="0"/>
      </w:pPr>
      <w:r>
        <w:t xml:space="preserve"/>
      </w:r>
    </w:p>
    <w:p>
      <w:pPr>
        <w:shd w:fill="1E1E1E" w:val="clear"/>
        <w:spacing w:after="20" w:before="20"/>
        <w:ind w:left="360" w:right="360"/>
      </w:pPr>
      <w:r>
        <w:rPr>
          <w:rFonts w:ascii="Courier New" w:cs="Courier New" w:eastAsia="Courier New" w:hAnsi="Courier New"/>
          <w:color w:val="6A9955"/>
          <w:sz w:val="20"/>
          <w:szCs w:val="20"/>
        </w:rPr>
        <w:t xml:space="preserve"># 4. Review the PR with intent context</w:t>
      </w:r>
    </w:p>
    <w:p>
      <w:pPr>
        <w:shd w:fill="1E1E1E" w:val="clear"/>
        <w:spacing w:after="20" w:before="20"/>
        <w:ind w:left="360" w:right="360"/>
      </w:pPr>
      <w:r>
        <w:rPr>
          <w:rFonts w:ascii="Courier New" w:cs="Courier New" w:eastAsia="Courier New" w:hAnsi="Courier New"/>
          <w:color w:val="D4D4D4"/>
          <w:sz w:val="20"/>
          <w:szCs w:val="20"/>
        </w:rPr>
        <w:t xml:space="preserve">$ ghw pr view 412 --why</w:t>
      </w:r>
    </w:p>
    <w:p>
      <w:pPr>
        <w:shd w:fill="1E1E1E" w:val="clear"/>
        <w:spacing w:after="20" w:before="20"/>
        <w:ind w:left="360" w:right="360"/>
      </w:pPr>
      <w:r>
        <w:rPr>
          <w:rFonts w:ascii="Courier New" w:cs="Courier New" w:eastAsia="Courier New" w:hAnsi="Courier New"/>
          <w:color w:val="D4D4D4"/>
          <w:sz w:val="20"/>
          <w:szCs w:val="20"/>
        </w:rPr>
        <w:t xml:space="preserve"/>
      </w:r>
    </w:p>
    <w:p>
      <w:pPr>
        <w:shd w:fill="1E1E1E" w:val="clear"/>
        <w:spacing w:after="20" w:before="20"/>
        <w:ind w:left="360" w:right="360"/>
      </w:pPr>
      <w:r>
        <w:rPr>
          <w:rFonts w:ascii="Courier New" w:cs="Courier New" w:eastAsia="Courier New" w:hAnsi="Courier New"/>
          <w:color w:val="D4D4D4"/>
          <w:sz w:val="20"/>
          <w:szCs w:val="20"/>
        </w:rPr>
        <w:t xml:space="preserve">  PR #412 — feat: retry logic for allocation service</w:t>
      </w:r>
    </w:p>
    <w:p>
      <w:pPr>
        <w:shd w:fill="1E1E1E" w:val="clear"/>
        <w:spacing w:after="20" w:before="20"/>
        <w:ind w:left="360" w:right="360"/>
      </w:pPr>
      <w:r>
        <w:rPr>
          <w:rFonts w:ascii="Courier New" w:cs="Courier New" w:eastAsia="Courier New" w:hAnsi="Courier New"/>
          <w:color w:val="D4D4D4"/>
          <w:sz w:val="20"/>
          <w:szCs w:val="20"/>
        </w:rPr>
        <w:t xml:space="preserve">  ──────────────────────────────────────────────────</w:t>
      </w:r>
    </w:p>
    <w:p>
      <w:pPr>
        <w:shd w:fill="1E1E1E" w:val="clear"/>
        <w:spacing w:after="20" w:before="20"/>
        <w:ind w:left="360" w:right="360"/>
      </w:pPr>
      <w:r>
        <w:rPr>
          <w:rFonts w:ascii="Courier New" w:cs="Courier New" w:eastAsia="Courier New" w:hAnsi="Courier New"/>
          <w:color w:val="D4D4D4"/>
          <w:sz w:val="20"/>
          <w:szCs w:val="20"/>
        </w:rPr>
        <w:t xml:space="preserve">  intent:  reduce allocation failure rate under load</w:t>
      </w:r>
    </w:p>
    <w:p>
      <w:pPr>
        <w:shd w:fill="1E1E1E" w:val="clear"/>
        <w:spacing w:after="20" w:before="20"/>
        <w:ind w:left="360" w:right="360"/>
      </w:pPr>
      <w:r>
        <w:rPr>
          <w:rFonts w:ascii="Courier New" w:cs="Courier New" w:eastAsia="Courier New" w:hAnsi="Courier New"/>
          <w:color w:val="D4D4D4"/>
          <w:sz w:val="20"/>
          <w:szCs w:val="20"/>
        </w:rPr>
        <w:t xml:space="preserve">  origin:  spec (BLUE-317)</w:t>
      </w:r>
    </w:p>
    <w:p>
      <w:pPr>
        <w:shd w:fill="1E1E1E" w:val="clear"/>
        <w:spacing w:after="20" w:before="20"/>
        <w:ind w:left="360" w:right="360"/>
      </w:pPr>
      <w:r>
        <w:rPr>
          <w:rFonts w:ascii="Courier New" w:cs="Courier New" w:eastAsia="Courier New" w:hAnsi="Courier New"/>
          <w:color w:val="D4D4D4"/>
          <w:sz w:val="20"/>
          <w:szCs w:val="20"/>
        </w:rPr>
        <w:t xml:space="preserve">  by:      agent:blue</w:t>
      </w:r>
    </w:p>
    <w:p>
      <w:pPr>
        <w:shd w:fill="1E1E1E" w:val="clear"/>
        <w:spacing w:after="20" w:before="20"/>
        <w:ind w:left="360" w:right="360"/>
      </w:pPr>
      <w:r>
        <w:rPr>
          <w:rFonts w:ascii="Courier New" w:cs="Courier New" w:eastAsia="Courier New" w:hAnsi="Courier New"/>
          <w:color w:val="D4D4D4"/>
          <w:sz w:val="20"/>
          <w:szCs w:val="20"/>
        </w:rPr>
        <w:t xml:space="preserve">  spec:    BLUE-317 @ a1b2c3d</w:t>
      </w:r>
    </w:p>
    <w:p>
      <w:pPr>
        <w:shd w:fill="1E1E1E" w:val="clear"/>
        <w:spacing w:after="20" w:before="20"/>
        <w:ind w:left="360" w:right="360"/>
      </w:pPr>
      <w:r>
        <w:rPr>
          <w:rFonts w:ascii="Courier New" w:cs="Courier New" w:eastAsia="Courier New" w:hAnsi="Courier New"/>
          <w:color w:val="D4D4D4"/>
          <w:sz w:val="20"/>
          <w:szCs w:val="20"/>
        </w:rPr>
        <w:t xml:space="preserve">  ──────────────────────────────────────────────────</w:t>
      </w:r>
    </w:p>
    <w:p>
      <w:pPr>
        <w:shd w:fill="1E1E1E" w:val="clear"/>
        <w:spacing w:after="20" w:before="20"/>
        <w:ind w:left="360" w:right="360"/>
      </w:pPr>
      <w:r>
        <w:rPr>
          <w:rFonts w:ascii="Courier New" w:cs="Courier New" w:eastAsia="Courier New" w:hAnsi="Courier New"/>
          <w:color w:val="D4D4D4"/>
          <w:sz w:val="20"/>
          <w:szCs w:val="20"/>
        </w:rPr>
        <w:t xml:space="preserve">  [standard PR view below]</w:t>
      </w:r>
    </w:p>
    <w:p>
      <w:pPr>
        <w:spacing w:after="60" w:before="0"/>
      </w:pPr>
      <w:r>
        <w:t xml:space="preserve"/>
      </w:r>
    </w:p>
    <w:p>
      <w:pPr>
        <w:shd w:fill="1E1E1E" w:val="clear"/>
        <w:spacing w:after="20" w:before="20"/>
        <w:ind w:left="360" w:right="360"/>
      </w:pPr>
      <w:r>
        <w:rPr>
          <w:rFonts w:ascii="Courier New" w:cs="Courier New" w:eastAsia="Courier New" w:hAnsi="Courier New"/>
          <w:color w:val="6A9955"/>
          <w:sz w:val="20"/>
          <w:szCs w:val="20"/>
        </w:rPr>
        <w:t xml:space="preserve"># 5. Check for drift</w:t>
      </w:r>
    </w:p>
    <w:p>
      <w:pPr>
        <w:shd w:fill="1E1E1E" w:val="clear"/>
        <w:spacing w:after="20" w:before="20"/>
        <w:ind w:left="360" w:right="360"/>
      </w:pPr>
      <w:r>
        <w:rPr>
          <w:rFonts w:ascii="Courier New" w:cs="Courier New" w:eastAsia="Courier New" w:hAnsi="Courier New"/>
          <w:color w:val="D4D4D4"/>
          <w:sz w:val="20"/>
          <w:szCs w:val="20"/>
        </w:rPr>
        <w:t xml:space="preserve">$ ghw diff --drift src/allocation/retry.ts --spec BLUE-317</w:t>
      </w:r>
    </w:p>
    <w:p>
      <w:pPr>
        <w:shd w:fill="1E1E1E" w:val="clear"/>
        <w:spacing w:after="20" w:before="20"/>
        <w:ind w:left="360" w:right="360"/>
      </w:pPr>
      <w:r>
        <w:rPr>
          <w:rFonts w:ascii="Courier New" w:cs="Courier New" w:eastAsia="Courier New" w:hAnsi="Courier New"/>
          <w:color w:val="D4D4D4"/>
          <w:sz w:val="20"/>
          <w:szCs w:val="20"/>
        </w:rPr>
        <w:t xml:space="preserve">  DRIFT DETECTED — spec updated since last generation</w:t>
      </w:r>
    </w:p>
    <w:p>
      <w:pPr>
        <w:shd w:fill="1E1E1E" w:val="clear"/>
        <w:spacing w:after="20" w:before="20"/>
        <w:ind w:left="360" w:right="360"/>
      </w:pPr>
      <w:r>
        <w:rPr>
          <w:rFonts w:ascii="Courier New" w:cs="Courier New" w:eastAsia="Courier New" w:hAnsi="Courier New"/>
          <w:color w:val="D4D4D4"/>
          <w:sz w:val="20"/>
          <w:szCs w:val="20"/>
        </w:rPr>
        <w:t xml:space="preserve">  Recommendation: regenerate from BLUE-317 or reconcile manually</w:t>
      </w:r>
    </w:p>
    <w:p>
      <w:pPr>
        <w:spacing w:after="6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120"/>
    </w:pPr>
    <w:r>
      <w:rPr>
        <w:rFonts w:ascii="Arial" w:cs="Arial" w:eastAsia="Arial" w:hAnsi="Arial"/>
        <w:color w:val="595959"/>
        <w:sz w:val="18"/>
        <w:szCs w:val="18"/>
      </w:rPr>
      <w:t xml:space="preserve">Version 1.0 — June 2026	</w:t>
    </w:r>
    <w:r>
      <w:rPr>
        <w:rFonts w:ascii="Arial" w:cs="Arial" w:eastAsia="Arial" w:hAnsi="Arial"/>
        <w:color w:val="59595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Arial" w:cs="Arial" w:eastAsia="Arial" w:hAnsi="Arial"/>
        <w:color w:val="595959"/>
        <w:sz w:val="18"/>
        <w:szCs w:val="18"/>
      </w:rPr>
      <w:t xml:space="preserve">gitwhy — Product Requirements Document  </w:t>
    </w:r>
    <w:r>
      <w:rPr>
        <w:rFonts w:ascii="Arial" w:cs="Arial" w:eastAsia="Arial" w:hAnsi="Arial"/>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2026-06-03T12:14:02.746Z</dcterms:created>
  <dcterms:modified xsi:type="dcterms:W3CDTF">2026-06-03T12:14:02.747Z</dcterms:modified>
</cp:coreProperties>
</file>

<file path=docProps/custom.xml><?xml version="1.0" encoding="utf-8"?>
<Properties xmlns="http://schemas.openxmlformats.org/officeDocument/2006/custom-properties" xmlns:vt="http://schemas.openxmlformats.org/officeDocument/2006/docPropsVTypes"/>
</file>