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Onboarding Procedure</w:t>
      </w:r>
    </w:p>
    <w:p>
      <w:pPr>
        <w:jc w:val="center"/>
      </w:pPr>
      <w:r>
        <w:rPr>
          <w:i/>
        </w:rPr>
        <w:t>DOC-012 | Version 5.1 | Access: Compliance</w:t>
      </w:r>
    </w:p>
    <w:p>
      <w:pPr>
        <w:pStyle w:val="Heading1"/>
      </w:pPr>
      <w:r>
        <w:t>Scope</w:t>
      </w:r>
    </w:p>
    <w:p>
      <w:r>
        <w:t>This synthetic procedure models customer due diligence workflows. It is not legal advice and is not a substitute for current regulatory requirements.</w:t>
      </w:r>
    </w:p>
    <w:p>
      <w:pPr>
        <w:pStyle w:val="Heading1"/>
      </w:pPr>
      <w:r>
        <w:t>Onboarding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Key evidence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 capture</w:t>
            </w:r>
          </w:p>
        </w:tc>
        <w:tc>
          <w:tcPr>
            <w:tcW w:type="dxa" w:w="2556"/>
            <w:vAlign w:val="center"/>
          </w:tcPr>
          <w:p>
            <w:r>
              <w:t>Relationship team</w:t>
            </w:r>
          </w:p>
        </w:tc>
        <w:tc>
          <w:tcPr>
            <w:tcW w:type="dxa" w:w="2556"/>
            <w:vAlign w:val="center"/>
          </w:tcPr>
          <w:p>
            <w:r>
              <w:t>Identity/contact data</w:t>
            </w:r>
          </w:p>
        </w:tc>
        <w:tc>
          <w:tcPr>
            <w:tcW w:type="dxa" w:w="2556"/>
            <w:vAlign w:val="center"/>
          </w:tcPr>
          <w:p>
            <w:r>
              <w:t>Complete / Missing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Identity verification</w:t>
            </w:r>
          </w:p>
        </w:tc>
        <w:tc>
          <w:tcPr>
            <w:tcW w:type="dxa" w:w="2556"/>
            <w:vAlign w:val="center"/>
          </w:tcPr>
          <w:p>
            <w:r>
              <w:t>KYC service</w:t>
            </w:r>
          </w:p>
        </w:tc>
        <w:tc>
          <w:tcPr>
            <w:tcW w:type="dxa" w:w="2556"/>
            <w:vAlign w:val="center"/>
          </w:tcPr>
          <w:p>
            <w:r>
              <w:t>Accepted identity evidence</w:t>
            </w:r>
          </w:p>
        </w:tc>
        <w:tc>
          <w:tcPr>
            <w:tcW w:type="dxa" w:w="2556"/>
            <w:vAlign w:val="center"/>
          </w:tcPr>
          <w:p>
            <w:r>
              <w:t>Pass / Refer</w:t>
            </w:r>
          </w:p>
        </w:tc>
      </w:tr>
      <w:tr>
        <w:tc>
          <w:tcPr>
            <w:tcW w:type="dxa" w:w="2556"/>
            <w:vAlign w:val="center"/>
          </w:tcPr>
          <w:p>
            <w:r>
              <w:t>Risk assessment</w:t>
            </w:r>
          </w:p>
        </w:tc>
        <w:tc>
          <w:tcPr>
            <w:tcW w:type="dxa" w:w="2556"/>
            <w:vAlign w:val="center"/>
          </w:tcPr>
          <w:p>
            <w:r>
              <w:t>Compliance</w:t>
            </w:r>
          </w:p>
        </w:tc>
        <w:tc>
          <w:tcPr>
            <w:tcW w:type="dxa" w:w="2556"/>
            <w:vAlign w:val="center"/>
          </w:tcPr>
          <w:p>
            <w:r>
              <w:t>Risk signals and profile</w:t>
            </w:r>
          </w:p>
        </w:tc>
        <w:tc>
          <w:tcPr>
            <w:tcW w:type="dxa" w:w="2556"/>
            <w:vAlign w:val="center"/>
          </w:tcPr>
          <w:p>
            <w:r>
              <w:t>Low / Medium / 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Approval</w:t>
            </w:r>
          </w:p>
        </w:tc>
        <w:tc>
          <w:tcPr>
            <w:tcW w:type="dxa" w:w="2556"/>
            <w:vAlign w:val="center"/>
          </w:tcPr>
          <w:p>
            <w:r>
              <w:t>Authorized reviewer</w:t>
            </w:r>
          </w:p>
        </w:tc>
        <w:tc>
          <w:tcPr>
            <w:tcW w:type="dxa" w:w="2556"/>
            <w:vAlign w:val="center"/>
          </w:tcPr>
          <w:p>
            <w:r>
              <w:t>Evidence package</w:t>
            </w:r>
          </w:p>
        </w:tc>
        <w:tc>
          <w:tcPr>
            <w:tcW w:type="dxa" w:w="2556"/>
            <w:vAlign w:val="center"/>
          </w:tcPr>
          <w:p>
            <w:r>
              <w:t>Approve / Reject / Remediate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Activation</w:t>
            </w:r>
          </w:p>
        </w:tc>
        <w:tc>
          <w:tcPr>
            <w:tcW w:type="dxa" w:w="2556"/>
            <w:vAlign w:val="center"/>
          </w:tcPr>
          <w:p>
            <w:r>
              <w:t>Operations</w:t>
            </w:r>
          </w:p>
        </w:tc>
        <w:tc>
          <w:tcPr>
            <w:tcW w:type="dxa" w:w="2556"/>
            <w:vAlign w:val="center"/>
          </w:tcPr>
          <w:p>
            <w:r>
              <w:t>Approved record</w:t>
            </w:r>
          </w:p>
        </w:tc>
        <w:tc>
          <w:tcPr>
            <w:tcW w:type="dxa" w:w="2556"/>
            <w:vAlign w:val="center"/>
          </w:tcPr>
          <w:p>
            <w:r>
              <w:t>Activate / Hold</w:t>
            </w:r>
          </w:p>
        </w:tc>
      </w:tr>
    </w:tbl>
    <w:p>
      <w:pPr>
        <w:pStyle w:val="Heading1"/>
      </w:pPr>
      <w:r>
        <w:t>Synthetic medium-risk example</w:t>
      </w:r>
    </w:p>
    <w:p>
      <w:r>
        <w:t>For this corpus, a medium-risk individual case requires identity evidence, address evidence where applicable, risk rationale and reviewer disposition.</w:t>
      </w:r>
    </w:p>
    <w:p>
      <w:r>
        <w:rPr>
          <w:b/>
        </w:rPr>
        <w:t xml:space="preserve">Note: </w:t>
      </w:r>
      <w:r>
        <w:t>Real-world documentary requirements must be taken from current applicable law and bank policy.</w:t>
      </w:r>
    </w:p>
    <w:p>
      <w:pPr>
        <w:pStyle w:val="Heading1"/>
      </w:pPr>
      <w:r>
        <w:t>Exceptions</w:t>
      </w:r>
    </w:p>
    <w:p>
      <w:pPr>
        <w:pStyle w:val="ListBullet"/>
      </w:pPr>
      <w:r>
        <w:t>Name mismatch -&gt; manual review.</w:t>
      </w:r>
    </w:p>
    <w:p>
      <w:pPr>
        <w:pStyle w:val="ListBullet"/>
      </w:pPr>
      <w:r>
        <w:t>Expired evidence -&gt; refresh or approved exception.</w:t>
      </w:r>
    </w:p>
    <w:p>
      <w:pPr>
        <w:pStyle w:val="ListBullet"/>
      </w:pPr>
      <w:r>
        <w:t>Screening alert -&gt; follow restricted compliance escalation.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Banking RAG Corpus | Generated 2026-08-30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