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Platform Incident Response Runbook</w:t>
      </w:r>
    </w:p>
    <w:p>
      <w:pPr>
        <w:jc w:val="center"/>
      </w:pPr>
      <w:r>
        <w:rPr>
          <w:i/>
        </w:rPr>
        <w:t>DOC-014 | Version 6.0 | Access: Restricted</w:t>
      </w:r>
    </w:p>
    <w:p>
      <w:pPr>
        <w:pStyle w:val="Heading1"/>
      </w:pPr>
      <w:r>
        <w:t>Severity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Initial target</w:t>
            </w:r>
          </w:p>
        </w:tc>
      </w:tr>
      <w:tr>
        <w:tc>
          <w:tcPr>
            <w:tcW w:type="dxa" w:w="3408"/>
            <w:vAlign w:val="center"/>
          </w:tcPr>
          <w:p>
            <w:r>
              <w:t>Sev-1</w:t>
            </w:r>
          </w:p>
        </w:tc>
        <w:tc>
          <w:tcPr>
            <w:tcW w:type="dxa" w:w="3408"/>
            <w:vAlign w:val="center"/>
          </w:tcPr>
          <w:p>
            <w:r>
              <w:t>Widespread critical payment outage</w:t>
            </w:r>
          </w:p>
        </w:tc>
        <w:tc>
          <w:tcPr>
            <w:tcW w:type="dxa" w:w="3408"/>
            <w:vAlign w:val="center"/>
          </w:tcPr>
          <w:p>
            <w:r>
              <w:t>5 min</w:t>
            </w:r>
          </w:p>
        </w:tc>
      </w:tr>
      <w:tr>
        <w:tc>
          <w:tcPr>
            <w:tcW w:type="dxa" w:w="3408"/>
            <w:vAlign w:val="center"/>
          </w:tcPr>
          <w:p>
            <w:r>
              <w:t>Sev-2</w:t>
            </w:r>
          </w:p>
        </w:tc>
        <w:tc>
          <w:tcPr>
            <w:tcW w:type="dxa" w:w="3408"/>
            <w:vAlign w:val="center"/>
          </w:tcPr>
          <w:p>
            <w:r>
              <w:t>Major critical-path degradation</w:t>
            </w:r>
          </w:p>
        </w:tc>
        <w:tc>
          <w:tcPr>
            <w:tcW w:type="dxa" w:w="3408"/>
            <w:vAlign w:val="center"/>
          </w:tcPr>
          <w:p>
            <w:r>
              <w:t>15 min</w:t>
            </w:r>
          </w:p>
        </w:tc>
      </w:tr>
      <w:tr>
        <w:tc>
          <w:tcPr>
            <w:tcW w:type="dxa" w:w="3408"/>
            <w:vAlign w:val="center"/>
          </w:tcPr>
          <w:p>
            <w:r>
              <w:t>Sev-3</w:t>
            </w:r>
          </w:p>
        </w:tc>
        <w:tc>
          <w:tcPr>
            <w:tcW w:type="dxa" w:w="3408"/>
            <w:vAlign w:val="center"/>
          </w:tcPr>
          <w:p>
            <w:r>
              <w:t>Limited impact</w:t>
            </w:r>
          </w:p>
        </w:tc>
        <w:tc>
          <w:tcPr>
            <w:tcW w:type="dxa" w:w="3408"/>
            <w:vAlign w:val="center"/>
          </w:tcPr>
          <w:p>
            <w:r>
              <w:t>60 min</w:t>
            </w:r>
          </w:p>
        </w:tc>
      </w:tr>
      <w:tr>
        <w:tc>
          <w:tcPr>
            <w:tcW w:type="dxa" w:w="3408"/>
            <w:vAlign w:val="center"/>
          </w:tcPr>
          <w:p>
            <w:r>
              <w:t>Sev-4</w:t>
            </w:r>
          </w:p>
        </w:tc>
        <w:tc>
          <w:tcPr>
            <w:tcW w:type="dxa" w:w="3408"/>
            <w:vAlign w:val="center"/>
          </w:tcPr>
          <w:p>
            <w:r>
              <w:t>Non-urgent defect</w:t>
            </w:r>
          </w:p>
        </w:tc>
        <w:tc>
          <w:tcPr>
            <w:tcW w:type="dxa" w:w="3408"/>
            <w:vAlign w:val="center"/>
          </w:tcPr>
          <w:p>
            <w:r>
              <w:t>1 business day</w:t>
            </w:r>
          </w:p>
        </w:tc>
      </w:tr>
    </w:tbl>
    <w:p>
      <w:pPr>
        <w:pStyle w:val="Heading1"/>
      </w:pPr>
      <w:r>
        <w:t>First 15 minutes</w:t>
      </w:r>
    </w:p>
    <w:p>
      <w:pPr>
        <w:pStyle w:val="ListBullet"/>
      </w:pPr>
      <w:r>
        <w:t>Declare incident and assign incident commander.</w:t>
      </w:r>
    </w:p>
    <w:p>
      <w:pPr>
        <w:pStyle w:val="ListBullet"/>
      </w:pPr>
      <w:r>
        <w:t>Capture start time and affected services.</w:t>
      </w:r>
    </w:p>
    <w:p>
      <w:pPr>
        <w:pStyle w:val="ListBullet"/>
      </w:pPr>
      <w:r>
        <w:t>Check gateway, switch, ledger, DB and queue health.</w:t>
      </w:r>
    </w:p>
    <w:p>
      <w:pPr>
        <w:pStyle w:val="ListBullet"/>
      </w:pPr>
      <w:r>
        <w:t>Compare error rate/latency with last known good period.</w:t>
      </w:r>
    </w:p>
    <w:p>
      <w:pPr>
        <w:pStyle w:val="ListBullet"/>
      </w:pPr>
      <w:r>
        <w:t>Preserve evidence before restarting components.</w:t>
      </w:r>
    </w:p>
    <w:p>
      <w:pPr>
        <w:pStyle w:val="Heading1"/>
      </w:pPr>
      <w:r>
        <w:t>ERR-GW-07 diagnostic path</w:t>
      </w:r>
    </w:p>
    <w:p>
      <w:r>
        <w:t>ERR-GW-07 commonly appears when a gateway connection is reset before the application has a definitive external response. Search by correlation ID. If result certainty is missing, use reconciliation rather than a blind reversal.</w:t>
      </w:r>
    </w:p>
    <w:p>
      <w:pPr>
        <w:pStyle w:val="Heading1"/>
      </w:pPr>
      <w:r>
        <w:t>Communication</w:t>
      </w:r>
    </w:p>
    <w:p>
      <w:r>
        <w:t>Internal updates should state known facts, unknowns, customer impact and next decision point. Never copy credentials or secret values into tickets.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Synthetic Banking RAG Corpus | Generated 2026-08-30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