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Payments Platform Release Notes</w:t>
      </w:r>
    </w:p>
    <w:p>
      <w:pPr>
        <w:jc w:val="center"/>
      </w:pPr>
      <w:r>
        <w:rPr>
          <w:i/>
        </w:rPr>
        <w:t>DOC-015 | Version 2026.08 | Access: Developer</w:t>
      </w:r>
    </w:p>
    <w:p>
      <w:pPr>
        <w:pStyle w:val="Heading1"/>
      </w:pPr>
      <w:r>
        <w:t>Release 2026.08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Change 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556"/>
            <w:vAlign w:val="center"/>
          </w:tcPr>
          <w:p>
            <w:r>
              <w:t>PAY-4812</w:t>
            </w:r>
          </w:p>
        </w:tc>
        <w:tc>
          <w:tcPr>
            <w:tcW w:type="dxa" w:w="2556"/>
            <w:vAlign w:val="center"/>
          </w:tcPr>
          <w:p>
            <w:r>
              <w:t>Timeout</w:t>
            </w:r>
          </w:p>
        </w:tc>
        <w:tc>
          <w:tcPr>
            <w:tcW w:type="dxa" w:w="2556"/>
            <w:vAlign w:val="center"/>
          </w:tcPr>
          <w:p>
            <w:r>
              <w:t>External timeout -&gt; PENDING_EXTERNAL_RESULT</w:t>
            </w:r>
          </w:p>
        </w:tc>
        <w:tc>
          <w:tcPr>
            <w:tcW w:type="dxa" w:w="2556"/>
            <w:vAlign w:val="center"/>
          </w:tcPr>
          <w:p>
            <w:r>
              <w:t>Reconcile before reversal</w:t>
            </w:r>
          </w:p>
        </w:tc>
      </w:tr>
      <w:tr>
        <w:tc>
          <w:tcPr>
            <w:tcW w:type="dxa" w:w="2556"/>
            <w:vAlign w:val="center"/>
          </w:tcPr>
          <w:p>
            <w:r>
              <w:t>API-3391</w:t>
            </w:r>
          </w:p>
        </w:tc>
        <w:tc>
          <w:tcPr>
            <w:tcW w:type="dxa" w:w="2556"/>
            <w:vAlign w:val="center"/>
          </w:tcPr>
          <w:p>
            <w:r>
              <w:t>Transactions</w:t>
            </w:r>
          </w:p>
        </w:tc>
        <w:tc>
          <w:tcPr>
            <w:tcW w:type="dxa" w:w="2556"/>
            <w:vAlign w:val="center"/>
          </w:tcPr>
          <w:p>
            <w:r>
              <w:t>Idempotency-key validation added</w:t>
            </w:r>
          </w:p>
        </w:tc>
        <w:tc>
          <w:tcPr>
            <w:tcW w:type="dxa" w:w="2556"/>
            <w:vAlign w:val="center"/>
          </w:tcPr>
          <w:p>
            <w:r>
              <w:t>Earlier duplicate rejection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OBS-2204</w:t>
            </w:r>
          </w:p>
        </w:tc>
        <w:tc>
          <w:tcPr>
            <w:tcW w:type="dxa" w:w="2556"/>
            <w:vAlign w:val="center"/>
          </w:tcPr>
          <w:p>
            <w:r>
              <w:t>Logging</w:t>
            </w:r>
          </w:p>
        </w:tc>
        <w:tc>
          <w:tcPr>
            <w:tcW w:type="dxa" w:w="2556"/>
            <w:vAlign w:val="center"/>
          </w:tcPr>
          <w:p>
            <w:r>
              <w:t>Correlation ID in payment retry logs</w:t>
            </w:r>
          </w:p>
        </w:tc>
        <w:tc>
          <w:tcPr>
            <w:tcW w:type="dxa" w:w="2556"/>
            <w:vAlign w:val="center"/>
          </w:tcPr>
          <w:p>
            <w:r>
              <w:t>Better tracing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SEC-1188</w:t>
            </w:r>
          </w:p>
        </w:tc>
        <w:tc>
          <w:tcPr>
            <w:tcW w:type="dxa" w:w="2556"/>
            <w:vAlign w:val="center"/>
          </w:tcPr>
          <w:p>
            <w:r>
              <w:t>Auth</w:t>
            </w:r>
          </w:p>
        </w:tc>
        <w:tc>
          <w:tcPr>
            <w:tcW w:type="dxa" w:w="2556"/>
            <w:vAlign w:val="center"/>
          </w:tcPr>
          <w:p>
            <w:r>
              <w:t>Scope validation moved closer to business handler</w:t>
            </w:r>
          </w:p>
        </w:tc>
        <w:tc>
          <w:tcPr>
            <w:tcW w:type="dxa" w:w="2556"/>
            <w:vAlign w:val="center"/>
          </w:tcPr>
          <w:p>
            <w:r>
              <w:t>Tighter authorization</w:t>
            </w:r>
          </w:p>
        </w:tc>
      </w:tr>
    </w:tbl>
    <w:p>
      <w:pPr>
        <w:pStyle w:val="Heading1"/>
      </w:pPr>
      <w:r>
        <w:t>Compatibility notes</w:t>
      </w:r>
    </w:p>
    <w:p>
      <w:r>
        <w:t>Legacy clients may see PENDING_EXTERNAL_RESULT instead of FAILED after gateway timeouts. Clients must reuse the same idempotency key for safe retries.</w:t>
      </w:r>
    </w:p>
    <w:p>
      <w:pPr>
        <w:pStyle w:val="Heading1"/>
      </w:pPr>
      <w:r>
        <w:t>Rollback note</w:t>
      </w:r>
    </w:p>
    <w:p>
      <w:r>
        <w:t>Rollback requires checking event-consumer compatibility because timeout state semantics changed.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Banking RAG Corpus | Generated 2026-08-30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