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before="0"/>
        <w:jc w:val="center"/>
      </w:pPr>
      <w:r>
        <w:rPr>
          <w:sz w:val="36"/>
        </w:rPr>
        <w:t>Transaction Reversal Standard Operating Procedure</w:t>
      </w:r>
    </w:p>
    <w:p>
      <w:pPr>
        <w:spacing w:after="60" w:before="0"/>
        <w:jc w:val="center"/>
      </w:pPr>
      <w:r>
        <w:rPr>
          <w:i/>
          <w:sz w:val="20"/>
        </w:rPr>
        <w:t>DOC-013 | Version 3.2 | Access: Operations</w:t>
      </w:r>
    </w:p>
    <w:p>
      <w:pPr>
        <w:pStyle w:val="Heading1"/>
        <w:spacing w:after="60" w:before="0"/>
      </w:pPr>
      <w:r>
        <w:t>When to use</w:t>
      </w:r>
    </w:p>
    <w:p>
      <w:pPr>
        <w:spacing w:after="60" w:before="0"/>
      </w:pPr>
      <w:r>
        <w:t>Use this SOP when a transaction reached a debit/hold stage but downstream completion failed or requires controlled reversal. Do not reverse solely because a customer reports non-receipt.</w:t>
      </w:r>
    </w:p>
    <w:p>
      <w:pPr>
        <w:pStyle w:val="Heading1"/>
        <w:spacing w:after="60" w:before="0"/>
      </w:pPr>
      <w:r>
        <w:t>Decision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8"/>
              </w:rPr>
              <w:t>Observed state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8"/>
              </w:rPr>
              <w:t>Escalation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Check whether external submission exists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Operations queue if stale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SWITCH_SUCCESS + no LEDGER_POSTED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Run ledger-posting recovery check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Payments incident if retry fails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EXTERNAL_TIMEOUT + unknown result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Do not blind-reverse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Reconciliation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FAILED before debit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No reversal required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Close with failure 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LEDGER_POSTED + beneficiary not credited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Investigate downstream and settlement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Payments operations</w:t>
            </w:r>
          </w:p>
        </w:tc>
      </w:tr>
    </w:tbl>
    <w:p>
      <w:pPr>
        <w:pStyle w:val="Heading1"/>
        <w:spacing w:after="60" w:before="0"/>
      </w:pPr>
      <w:r>
        <w:t>Version 3.2 changes</w:t>
      </w:r>
    </w:p>
    <w:p>
      <w:pPr>
        <w:spacing w:after="60" w:before="0"/>
      </w:pPr>
      <w:r>
        <w:t>External timeout is separated from terminal failure.</w:t>
      </w:r>
    </w:p>
    <w:p>
      <w:pPr>
        <w:spacing w:after="60" w:before="0"/>
      </w:pPr>
      <w:r>
        <w:t>Capture transaction ID and correlation ID before reversal/escalation.</w:t>
      </w:r>
    </w:p>
    <w:p>
      <w:pPr>
        <w:spacing w:after="60" w:before="0"/>
      </w:pPr>
      <w:r>
        <w:t>Successful reversal must produce a reversal event and reconciliation evidence.</w:t>
      </w:r>
    </w:p>
    <w:p>
      <w:pPr>
        <w:pStyle w:val="Heading1"/>
        <w:spacing w:after="60" w:before="0"/>
      </w:pPr>
      <w:r>
        <w:t>Audit requirements</w:t>
      </w:r>
    </w:p>
    <w:p>
      <w:pPr>
        <w:pStyle w:val="ListBullet"/>
        <w:spacing w:after="60" w:before="0"/>
      </w:pPr>
      <w:r>
        <w:t>Operator ID</w:t>
      </w:r>
    </w:p>
    <w:p>
      <w:pPr>
        <w:pStyle w:val="ListBullet"/>
        <w:spacing w:after="60" w:before="0"/>
      </w:pPr>
      <w:r>
        <w:t>Transaction ID and correlation ID</w:t>
      </w:r>
    </w:p>
    <w:p>
      <w:pPr>
        <w:pStyle w:val="ListBullet"/>
        <w:spacing w:after="60" w:before="0"/>
      </w:pPr>
      <w:r>
        <w:t>Decision reason</w:t>
      </w:r>
    </w:p>
    <w:p>
      <w:pPr>
        <w:pStyle w:val="ListBullet"/>
        <w:spacing w:after="60" w:before="0"/>
      </w:pPr>
      <w:r>
        <w:t>Evidence references</w:t>
      </w:r>
    </w:p>
    <w:p>
      <w:pPr>
        <w:pStyle w:val="ListBullet"/>
        <w:spacing w:after="60" w:before="0"/>
      </w:pPr>
      <w:r>
        <w:t>Final state</w:t>
      </w:r>
    </w:p>
    <w:p>
      <w:pPr>
        <w:pStyle w:val="Heading1"/>
        <w:spacing w:after="60" w:before="0"/>
      </w:pPr>
      <w:r>
        <w:t>Example</w:t>
      </w:r>
    </w:p>
    <w:p>
      <w:pPr>
        <w:spacing w:after="60" w:before="0"/>
      </w:pPr>
      <w:r>
        <w:rPr>
          <w:rFonts w:ascii="Consolas" w:hAnsi="Consolas"/>
          <w:sz w:val="18"/>
        </w:rPr>
        <w:t>txn_id=TXN-884212</w:t>
        <w:br/>
        <w:t>state=SWITCH_SUCCESS</w:t>
        <w:br/>
        <w:t>ledger=NOT_POSTED</w:t>
        <w:br/>
        <w:t>recommended_action=LEDGER_RETRY_CHECK</w:t>
      </w:r>
    </w:p>
    <w:sectPr w:rsidR="00FC693F" w:rsidRPr="0006063C" w:rsidSect="00034616"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Banking RAG Corpus | Generated 2026-08-30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