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98370" w14:textId="08E26F57" w:rsidR="00452C5F" w:rsidRPr="0044638E" w:rsidRDefault="00452C5F" w:rsidP="0044638E">
      <w:pPr>
        <w:pStyle w:val="NoSpacing"/>
        <w:spacing w:line="360" w:lineRule="auto"/>
        <w:rPr>
          <w:rStyle w:val="Strong"/>
          <w:rFonts w:ascii="Calibri" w:hAnsi="Calibri" w:cs="Calibri"/>
          <w:b w:val="0"/>
          <w:bCs w:val="0"/>
          <w:color w:val="1F497D" w:themeColor="text2"/>
          <w:sz w:val="24"/>
          <w:szCs w:val="24"/>
        </w:rPr>
      </w:pPr>
      <w:r w:rsidRPr="0044638E">
        <w:rPr>
          <w:rStyle w:val="Strong"/>
          <w:rFonts w:ascii="Calibri" w:hAnsi="Calibri" w:cs="Calibri"/>
          <w:b w:val="0"/>
          <w:bCs w:val="0"/>
          <w:color w:val="1F497D" w:themeColor="text2"/>
          <w:sz w:val="24"/>
          <w:szCs w:val="24"/>
        </w:rPr>
        <w:t>Table of Contents</w:t>
      </w:r>
    </w:p>
    <w:p w14:paraId="417B8233" w14:textId="77777777" w:rsidR="00452C5F" w:rsidRPr="0044638E" w:rsidRDefault="00452C5F" w:rsidP="0044638E">
      <w:pPr>
        <w:pStyle w:val="NoSpacing"/>
        <w:spacing w:line="360" w:lineRule="auto"/>
        <w:rPr>
          <w:rFonts w:ascii="Calibri" w:hAnsi="Calibri" w:cs="Calibri"/>
          <w:color w:val="1F497D" w:themeColor="text2"/>
          <w:sz w:val="24"/>
          <w:szCs w:val="24"/>
        </w:rPr>
      </w:pPr>
    </w:p>
    <w:p w14:paraId="7BC26EC6" w14:textId="2C47F22A" w:rsidR="00452C5F"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Problem Statement and Importance</w:t>
      </w:r>
      <w:r w:rsidRPr="0044638E">
        <w:rPr>
          <w:rFonts w:ascii="Calibri" w:hAnsi="Calibri" w:cs="Calibri"/>
          <w:sz w:val="24"/>
          <w:szCs w:val="24"/>
        </w:rPr>
        <w:t>..................................................................</w:t>
      </w:r>
      <w:r w:rsidR="005D7CB1">
        <w:rPr>
          <w:rFonts w:ascii="Calibri" w:hAnsi="Calibri" w:cs="Calibri"/>
          <w:sz w:val="24"/>
          <w:szCs w:val="24"/>
        </w:rPr>
        <w:t>...</w:t>
      </w:r>
      <w:r w:rsidR="001517AE">
        <w:rPr>
          <w:rFonts w:ascii="Calibri" w:hAnsi="Calibri" w:cs="Calibri"/>
          <w:sz w:val="24"/>
          <w:szCs w:val="24"/>
        </w:rPr>
        <w:t>3</w:t>
      </w:r>
    </w:p>
    <w:p w14:paraId="44CB6A36" w14:textId="77777777" w:rsidR="001517AE" w:rsidRPr="0044638E" w:rsidRDefault="001517AE" w:rsidP="001517AE">
      <w:pPr>
        <w:pStyle w:val="NoSpacing"/>
        <w:spacing w:line="360" w:lineRule="auto"/>
        <w:ind w:left="360"/>
        <w:rPr>
          <w:rFonts w:ascii="Calibri" w:hAnsi="Calibri" w:cs="Calibri"/>
          <w:sz w:val="24"/>
          <w:szCs w:val="24"/>
        </w:rPr>
      </w:pPr>
    </w:p>
    <w:p w14:paraId="65148ED9" w14:textId="535A4400"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Literature Revie</w:t>
      </w:r>
      <w:r w:rsidR="0044638E" w:rsidRPr="0044638E">
        <w:rPr>
          <w:rStyle w:val="Strong"/>
          <w:rFonts w:ascii="Calibri" w:hAnsi="Calibri" w:cs="Calibri"/>
          <w:sz w:val="24"/>
          <w:szCs w:val="24"/>
        </w:rPr>
        <w:t>w</w:t>
      </w:r>
      <w:r w:rsidRPr="0044638E">
        <w:rPr>
          <w:rFonts w:ascii="Calibri" w:hAnsi="Calibri" w:cs="Calibri"/>
          <w:sz w:val="24"/>
          <w:szCs w:val="24"/>
        </w:rPr>
        <w:t>.........................................................................................</w:t>
      </w:r>
      <w:r w:rsidR="005D7CB1">
        <w:rPr>
          <w:rFonts w:ascii="Calibri" w:hAnsi="Calibri" w:cs="Calibri"/>
          <w:sz w:val="24"/>
          <w:szCs w:val="24"/>
        </w:rPr>
        <w:t>.........</w:t>
      </w:r>
      <w:bookmarkStart w:id="0" w:name="_GoBack"/>
      <w:bookmarkEnd w:id="0"/>
      <w:r w:rsidR="00AC0F64">
        <w:rPr>
          <w:rFonts w:ascii="Calibri" w:hAnsi="Calibri" w:cs="Calibri"/>
          <w:sz w:val="24"/>
          <w:szCs w:val="24"/>
        </w:rPr>
        <w:t xml:space="preserve"> 4</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2.1 Data Governance: Concepts and Relevance ........................</w:t>
      </w:r>
      <w:r w:rsidR="005D7CB1">
        <w:rPr>
          <w:rFonts w:ascii="Calibri" w:hAnsi="Calibri" w:cs="Calibri"/>
          <w:sz w:val="24"/>
          <w:szCs w:val="24"/>
        </w:rPr>
        <w:t>......</w:t>
      </w:r>
      <w:r w:rsidRPr="0044638E">
        <w:rPr>
          <w:rFonts w:ascii="Calibri" w:hAnsi="Calibri" w:cs="Calibri"/>
          <w:sz w:val="24"/>
          <w:szCs w:val="24"/>
        </w:rPr>
        <w:t xml:space="preserve">.................. </w:t>
      </w:r>
      <w:r w:rsidR="00AC0F64">
        <w:rPr>
          <w:rFonts w:ascii="Calibri" w:hAnsi="Calibri" w:cs="Calibri"/>
          <w:sz w:val="24"/>
          <w:szCs w:val="24"/>
        </w:rPr>
        <w:t>5</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2.2 Cybersecurity in Financial Services ...............................................................</w:t>
      </w:r>
      <w:r w:rsidR="00AC0F64">
        <w:rPr>
          <w:rFonts w:ascii="Calibri" w:hAnsi="Calibri" w:cs="Calibri"/>
          <w:sz w:val="24"/>
          <w:szCs w:val="24"/>
        </w:rPr>
        <w:t>5</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2.3 FinTech vs Traditional Banking Approaches ................................................ </w:t>
      </w:r>
      <w:r w:rsidR="00AC0F64">
        <w:rPr>
          <w:rFonts w:ascii="Calibri" w:hAnsi="Calibri" w:cs="Calibri"/>
          <w:sz w:val="24"/>
          <w:szCs w:val="24"/>
        </w:rPr>
        <w:t>6</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2.4 Open Banking, APIs, and Data Risk .............................................................. </w:t>
      </w:r>
      <w:r w:rsidR="00AC0F64">
        <w:rPr>
          <w:rFonts w:ascii="Calibri" w:hAnsi="Calibri" w:cs="Calibri"/>
          <w:sz w:val="24"/>
          <w:szCs w:val="24"/>
        </w:rPr>
        <w:t>6</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2.5 AI, Data Ethics, and Regulatory Oversight ................................................</w:t>
      </w:r>
      <w:r w:rsidR="00AC0F64">
        <w:rPr>
          <w:rFonts w:ascii="Calibri" w:hAnsi="Calibri" w:cs="Calibri"/>
          <w:sz w:val="24"/>
          <w:szCs w:val="24"/>
        </w:rPr>
        <w:t xml:space="preserve"> 6-7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2.6 Comparative Case Evidence ...............................................................</w:t>
      </w:r>
      <w:r w:rsidR="005D7CB1">
        <w:rPr>
          <w:rFonts w:ascii="Calibri" w:hAnsi="Calibri" w:cs="Calibri"/>
          <w:sz w:val="24"/>
          <w:szCs w:val="24"/>
        </w:rPr>
        <w:t>.</w:t>
      </w:r>
      <w:r w:rsidRPr="0044638E">
        <w:rPr>
          <w:rFonts w:ascii="Calibri" w:hAnsi="Calibri" w:cs="Calibri"/>
          <w:sz w:val="24"/>
          <w:szCs w:val="24"/>
        </w:rPr>
        <w:t xml:space="preserve">......... </w:t>
      </w:r>
      <w:r w:rsidR="00AC0F64">
        <w:rPr>
          <w:rFonts w:ascii="Calibri" w:hAnsi="Calibri" w:cs="Calibri"/>
          <w:sz w:val="24"/>
          <w:szCs w:val="24"/>
        </w:rPr>
        <w:t>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2.7 Summary and Gaps ...................................................................................... </w:t>
      </w:r>
      <w:r w:rsidR="00AC0F64">
        <w:rPr>
          <w:rFonts w:ascii="Calibri" w:hAnsi="Calibri" w:cs="Calibri"/>
          <w:sz w:val="24"/>
          <w:szCs w:val="24"/>
        </w:rPr>
        <w:t>7</w:t>
      </w:r>
    </w:p>
    <w:p w14:paraId="162FB897" w14:textId="77777777" w:rsidR="00452C5F" w:rsidRPr="0044638E" w:rsidRDefault="00452C5F" w:rsidP="0044638E">
      <w:pPr>
        <w:pStyle w:val="NoSpacing"/>
        <w:spacing w:line="360" w:lineRule="auto"/>
        <w:rPr>
          <w:rFonts w:ascii="Calibri" w:hAnsi="Calibri" w:cs="Calibri"/>
          <w:sz w:val="24"/>
          <w:szCs w:val="24"/>
        </w:rPr>
      </w:pPr>
    </w:p>
    <w:p w14:paraId="60B90707" w14:textId="56FEC4DC"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Motivation, Research Gap, and Hypotheses</w:t>
      </w:r>
      <w:r w:rsidRPr="0044638E">
        <w:rPr>
          <w:rFonts w:ascii="Calibri" w:hAnsi="Calibri" w:cs="Calibri"/>
          <w:sz w:val="24"/>
          <w:szCs w:val="24"/>
        </w:rPr>
        <w:t xml:space="preserve"> ...............................................</w:t>
      </w:r>
      <w:r w:rsidR="005D7CB1">
        <w:rPr>
          <w:rFonts w:ascii="Calibri" w:hAnsi="Calibri" w:cs="Calibri"/>
          <w:sz w:val="24"/>
          <w:szCs w:val="24"/>
        </w:rPr>
        <w:t>.</w:t>
      </w:r>
      <w:r w:rsidRPr="0044638E">
        <w:rPr>
          <w:rFonts w:ascii="Calibri" w:hAnsi="Calibri" w:cs="Calibri"/>
          <w:sz w:val="24"/>
          <w:szCs w:val="24"/>
        </w:rPr>
        <w:t xml:space="preserve">....... </w:t>
      </w:r>
      <w:r w:rsidR="00AC0F64">
        <w:rPr>
          <w:rFonts w:ascii="Calibri" w:hAnsi="Calibri" w:cs="Calibri"/>
          <w:sz w:val="24"/>
          <w:szCs w:val="24"/>
        </w:rPr>
        <w:t>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3.1 Motivation ................................................................................................</w:t>
      </w:r>
      <w:r w:rsidR="00AC0F64">
        <w:rPr>
          <w:rFonts w:ascii="Calibri" w:hAnsi="Calibri" w:cs="Calibri"/>
          <w:sz w:val="24"/>
          <w:szCs w:val="24"/>
        </w:rPr>
        <w:t xml:space="preserve"> 7-8</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3.2 Research Gap ............................................................................................... </w:t>
      </w:r>
      <w:r w:rsidR="00AC0F64">
        <w:rPr>
          <w:rFonts w:ascii="Calibri" w:hAnsi="Calibri" w:cs="Calibri"/>
          <w:sz w:val="24"/>
          <w:szCs w:val="24"/>
        </w:rPr>
        <w:t>8</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3.3 Research Questions ..................................................................................... </w:t>
      </w:r>
      <w:r w:rsidR="00AC0F64">
        <w:rPr>
          <w:rFonts w:ascii="Calibri" w:hAnsi="Calibri" w:cs="Calibri"/>
          <w:sz w:val="24"/>
          <w:szCs w:val="24"/>
        </w:rPr>
        <w:t>9</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3.4 Hypotheses .................................................................................................. </w:t>
      </w:r>
      <w:r w:rsidR="00AC0F64">
        <w:rPr>
          <w:rFonts w:ascii="Calibri" w:hAnsi="Calibri" w:cs="Calibri"/>
          <w:sz w:val="24"/>
          <w:szCs w:val="24"/>
        </w:rPr>
        <w:t>9</w:t>
      </w:r>
    </w:p>
    <w:p w14:paraId="2ED500AD" w14:textId="77777777" w:rsidR="00452C5F" w:rsidRPr="0044638E" w:rsidRDefault="00452C5F" w:rsidP="0044638E">
      <w:pPr>
        <w:pStyle w:val="NoSpacing"/>
        <w:spacing w:line="360" w:lineRule="auto"/>
        <w:rPr>
          <w:rFonts w:ascii="Calibri" w:hAnsi="Calibri" w:cs="Calibri"/>
          <w:sz w:val="24"/>
          <w:szCs w:val="24"/>
        </w:rPr>
      </w:pPr>
    </w:p>
    <w:p w14:paraId="354F7C79" w14:textId="253ED9FE"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Methodology and Data</w:t>
      </w:r>
      <w:r w:rsidRPr="0044638E">
        <w:rPr>
          <w:rFonts w:ascii="Calibri" w:hAnsi="Calibri" w:cs="Calibri"/>
          <w:sz w:val="24"/>
          <w:szCs w:val="24"/>
        </w:rPr>
        <w:t xml:space="preserve"> ........................................................................................</w:t>
      </w:r>
      <w:r w:rsidR="005D7CB1">
        <w:rPr>
          <w:rFonts w:ascii="Calibri" w:hAnsi="Calibri" w:cs="Calibri"/>
          <w:sz w:val="24"/>
          <w:szCs w:val="24"/>
        </w:rPr>
        <w:t>.</w:t>
      </w:r>
      <w:r w:rsidR="00AC0F64">
        <w:rPr>
          <w:rFonts w:ascii="Calibri" w:hAnsi="Calibri" w:cs="Calibri"/>
          <w:sz w:val="24"/>
          <w:szCs w:val="24"/>
        </w:rPr>
        <w:t>9</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4.1 Research Design ...........................................................</w:t>
      </w:r>
      <w:r w:rsidR="005D7CB1">
        <w:rPr>
          <w:rFonts w:ascii="Calibri" w:hAnsi="Calibri" w:cs="Calibri"/>
          <w:sz w:val="24"/>
          <w:szCs w:val="24"/>
        </w:rPr>
        <w:t>.</w:t>
      </w:r>
      <w:r w:rsidRPr="0044638E">
        <w:rPr>
          <w:rFonts w:ascii="Calibri" w:hAnsi="Calibri" w:cs="Calibri"/>
          <w:sz w:val="24"/>
          <w:szCs w:val="24"/>
        </w:rPr>
        <w:t>.........................</w:t>
      </w:r>
      <w:r w:rsidR="00AC0F64">
        <w:rPr>
          <w:rFonts w:ascii="Calibri" w:hAnsi="Calibri" w:cs="Calibri"/>
          <w:sz w:val="24"/>
          <w:szCs w:val="24"/>
        </w:rPr>
        <w:t xml:space="preserve"> 9-10</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4.2 Case Selection and Justification ................................................................. </w:t>
      </w:r>
      <w:r w:rsidR="00AC0F64">
        <w:rPr>
          <w:rFonts w:ascii="Calibri" w:hAnsi="Calibri" w:cs="Calibri"/>
          <w:sz w:val="24"/>
          <w:szCs w:val="24"/>
        </w:rPr>
        <w:t>10</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4.3 Data Sources .............................................................................................. 10</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4.4 Analytical Tools and Techniques ................................................................ 11</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4.5 Ethical Considerations ............................................................................... 1</w:t>
      </w:r>
      <w:r w:rsidR="00AC0F64">
        <w:rPr>
          <w:rFonts w:ascii="Calibri" w:hAnsi="Calibri" w:cs="Calibri"/>
          <w:sz w:val="24"/>
          <w:szCs w:val="24"/>
        </w:rPr>
        <w:t>1</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4.6 Limitations ................................................................................................. 1</w:t>
      </w:r>
      <w:r w:rsidR="00AC0F64">
        <w:rPr>
          <w:rFonts w:ascii="Calibri" w:hAnsi="Calibri" w:cs="Calibri"/>
          <w:sz w:val="24"/>
          <w:szCs w:val="24"/>
        </w:rPr>
        <w:t>1</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4.7 Timeline ..................................................................................................... 1</w:t>
      </w:r>
      <w:r w:rsidR="00AC0F64">
        <w:rPr>
          <w:rFonts w:ascii="Calibri" w:hAnsi="Calibri" w:cs="Calibri"/>
          <w:sz w:val="24"/>
          <w:szCs w:val="24"/>
        </w:rPr>
        <w:t>2</w:t>
      </w:r>
    </w:p>
    <w:p w14:paraId="0C4FD455" w14:textId="77777777" w:rsidR="00452C5F" w:rsidRPr="0044638E" w:rsidRDefault="00452C5F" w:rsidP="0044638E">
      <w:pPr>
        <w:pStyle w:val="NoSpacing"/>
        <w:spacing w:line="360" w:lineRule="auto"/>
        <w:rPr>
          <w:rFonts w:ascii="Calibri" w:hAnsi="Calibri" w:cs="Calibri"/>
          <w:sz w:val="24"/>
          <w:szCs w:val="24"/>
        </w:rPr>
      </w:pPr>
    </w:p>
    <w:p w14:paraId="4566FB22" w14:textId="3932905D"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lastRenderedPageBreak/>
        <w:t>Case Studies (UK Focused)</w:t>
      </w:r>
      <w:r w:rsidRPr="0044638E">
        <w:rPr>
          <w:rFonts w:ascii="Calibri" w:hAnsi="Calibri" w:cs="Calibri"/>
          <w:sz w:val="24"/>
          <w:szCs w:val="24"/>
        </w:rPr>
        <w:t xml:space="preserve"> ................................................................</w:t>
      </w:r>
      <w:r w:rsidR="005D7CB1">
        <w:rPr>
          <w:rFonts w:ascii="Calibri" w:hAnsi="Calibri" w:cs="Calibri"/>
          <w:sz w:val="24"/>
          <w:szCs w:val="24"/>
        </w:rPr>
        <w:t>.</w:t>
      </w:r>
      <w:r w:rsidRPr="0044638E">
        <w:rPr>
          <w:rFonts w:ascii="Calibri" w:hAnsi="Calibri" w:cs="Calibri"/>
          <w:sz w:val="24"/>
          <w:szCs w:val="24"/>
        </w:rPr>
        <w:t>................ 1</w:t>
      </w:r>
      <w:r w:rsidR="00AC0F64">
        <w:rPr>
          <w:rFonts w:ascii="Calibri" w:hAnsi="Calibri" w:cs="Calibri"/>
          <w:sz w:val="24"/>
          <w:szCs w:val="24"/>
        </w:rPr>
        <w:t>2</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5.1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w:t>
      </w:r>
      <w:r w:rsidR="00AC0F64">
        <w:rPr>
          <w:rFonts w:ascii="Calibri" w:hAnsi="Calibri" w:cs="Calibri"/>
          <w:sz w:val="24"/>
          <w:szCs w:val="24"/>
        </w:rPr>
        <w:t xml:space="preserve"> 12-13</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5.2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 1</w:t>
      </w:r>
      <w:r w:rsidR="00AC0F64">
        <w:rPr>
          <w:rFonts w:ascii="Calibri" w:hAnsi="Calibri" w:cs="Calibri"/>
          <w:sz w:val="24"/>
          <w:szCs w:val="24"/>
        </w:rPr>
        <w:t>3</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5.3 Starling Bank .........................................................................................</w:t>
      </w:r>
      <w:r w:rsidR="00AC0F64">
        <w:rPr>
          <w:rFonts w:ascii="Calibri" w:hAnsi="Calibri" w:cs="Calibri"/>
          <w:sz w:val="24"/>
          <w:szCs w:val="24"/>
        </w:rPr>
        <w:t xml:space="preserve"> 13-14</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5.4 </w:t>
      </w:r>
      <w:proofErr w:type="spellStart"/>
      <w:r w:rsidRPr="0044638E">
        <w:rPr>
          <w:rFonts w:ascii="Calibri" w:hAnsi="Calibri" w:cs="Calibri"/>
          <w:sz w:val="24"/>
          <w:szCs w:val="24"/>
        </w:rPr>
        <w:t>Zopa</w:t>
      </w:r>
      <w:proofErr w:type="spellEnd"/>
      <w:r w:rsidRPr="0044638E">
        <w:rPr>
          <w:rFonts w:ascii="Calibri" w:hAnsi="Calibri" w:cs="Calibri"/>
          <w:sz w:val="24"/>
          <w:szCs w:val="24"/>
        </w:rPr>
        <w:t xml:space="preserve"> ........................................................................................................... 1</w:t>
      </w:r>
      <w:r w:rsidR="00010B5E">
        <w:rPr>
          <w:rFonts w:ascii="Calibri" w:hAnsi="Calibri" w:cs="Calibri"/>
          <w:sz w:val="24"/>
          <w:szCs w:val="24"/>
        </w:rPr>
        <w:t>4</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5.5 Cross-Case Comparison ............................................................................. 1</w:t>
      </w:r>
      <w:r w:rsidR="00010B5E">
        <w:rPr>
          <w:rFonts w:ascii="Calibri" w:hAnsi="Calibri" w:cs="Calibri"/>
          <w:sz w:val="24"/>
          <w:szCs w:val="24"/>
        </w:rPr>
        <w:t>4</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5.6 Comparison with Traditional Banks ........................................................... </w:t>
      </w:r>
      <w:r w:rsidR="00010B5E">
        <w:rPr>
          <w:rFonts w:ascii="Calibri" w:hAnsi="Calibri" w:cs="Calibri"/>
          <w:sz w:val="24"/>
          <w:szCs w:val="24"/>
        </w:rPr>
        <w:t>15</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5.7 Synthesis .................................................................................................... </w:t>
      </w:r>
      <w:r w:rsidR="00010B5E">
        <w:rPr>
          <w:rFonts w:ascii="Calibri" w:hAnsi="Calibri" w:cs="Calibri"/>
          <w:sz w:val="24"/>
          <w:szCs w:val="24"/>
        </w:rPr>
        <w:t>15</w:t>
      </w:r>
    </w:p>
    <w:p w14:paraId="6A94AE9A" w14:textId="77777777" w:rsidR="00452C5F" w:rsidRPr="0044638E" w:rsidRDefault="00452C5F" w:rsidP="0044638E">
      <w:pPr>
        <w:pStyle w:val="NoSpacing"/>
        <w:spacing w:line="360" w:lineRule="auto"/>
        <w:rPr>
          <w:rFonts w:ascii="Calibri" w:hAnsi="Calibri" w:cs="Calibri"/>
          <w:sz w:val="24"/>
          <w:szCs w:val="24"/>
        </w:rPr>
      </w:pPr>
    </w:p>
    <w:p w14:paraId="1ABD24A4" w14:textId="3C5836A8"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Discussion and Recommendations</w:t>
      </w:r>
      <w:r w:rsidRPr="0044638E">
        <w:rPr>
          <w:rFonts w:ascii="Calibri" w:hAnsi="Calibri" w:cs="Calibri"/>
          <w:sz w:val="24"/>
          <w:szCs w:val="24"/>
        </w:rPr>
        <w:t xml:space="preserve"> .................................................................... </w:t>
      </w:r>
      <w:r w:rsidR="00010B5E">
        <w:rPr>
          <w:rFonts w:ascii="Calibri" w:hAnsi="Calibri" w:cs="Calibri"/>
          <w:sz w:val="24"/>
          <w:szCs w:val="24"/>
        </w:rPr>
        <w:t>15</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6.1 Synthesis of Key Themes .......................................................................</w:t>
      </w:r>
      <w:r w:rsidR="00010B5E">
        <w:rPr>
          <w:rFonts w:ascii="Calibri" w:hAnsi="Calibri" w:cs="Calibri"/>
          <w:sz w:val="24"/>
          <w:szCs w:val="24"/>
        </w:rPr>
        <w:t>15-16</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6.2 Regulatory Recommendations .................................................................. </w:t>
      </w:r>
      <w:r w:rsidR="00010B5E">
        <w:rPr>
          <w:rFonts w:ascii="Calibri" w:hAnsi="Calibri" w:cs="Calibri"/>
          <w:sz w:val="24"/>
          <w:szCs w:val="24"/>
        </w:rPr>
        <w:t>16</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6.3 </w:t>
      </w:r>
      <w:proofErr w:type="spellStart"/>
      <w:r w:rsidRPr="0044638E">
        <w:rPr>
          <w:rFonts w:ascii="Calibri" w:hAnsi="Calibri" w:cs="Calibri"/>
          <w:sz w:val="24"/>
          <w:szCs w:val="24"/>
        </w:rPr>
        <w:t>Organisational</w:t>
      </w:r>
      <w:proofErr w:type="spellEnd"/>
      <w:r w:rsidRPr="0044638E">
        <w:rPr>
          <w:rFonts w:ascii="Calibri" w:hAnsi="Calibri" w:cs="Calibri"/>
          <w:sz w:val="24"/>
          <w:szCs w:val="24"/>
        </w:rPr>
        <w:t xml:space="preserve"> Recommendations for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w:t>
      </w:r>
      <w:r w:rsidR="00010B5E">
        <w:rPr>
          <w:rFonts w:ascii="Calibri" w:hAnsi="Calibri" w:cs="Calibri"/>
          <w:sz w:val="24"/>
          <w:szCs w:val="24"/>
        </w:rPr>
        <w:t xml:space="preserve"> 16-17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 xml:space="preserve">6.4 Sector-Wide Recommendations ................................................................ </w:t>
      </w:r>
      <w:r w:rsidR="00010B5E">
        <w:rPr>
          <w:rFonts w:ascii="Calibri" w:hAnsi="Calibri" w:cs="Calibri"/>
          <w:sz w:val="24"/>
          <w:szCs w:val="24"/>
        </w:rPr>
        <w:t>17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6.5 Ethical and Strategic Implications ...........................................</w:t>
      </w:r>
      <w:r w:rsidR="005D7CB1">
        <w:rPr>
          <w:rFonts w:ascii="Calibri" w:hAnsi="Calibri" w:cs="Calibri"/>
          <w:sz w:val="24"/>
          <w:szCs w:val="24"/>
        </w:rPr>
        <w:t>.</w:t>
      </w:r>
      <w:r w:rsidRPr="0044638E">
        <w:rPr>
          <w:rFonts w:ascii="Calibri" w:hAnsi="Calibri" w:cs="Calibri"/>
          <w:sz w:val="24"/>
          <w:szCs w:val="24"/>
        </w:rPr>
        <w:t xml:space="preserve">.................. </w:t>
      </w:r>
      <w:r w:rsidR="00010B5E">
        <w:rPr>
          <w:rFonts w:ascii="Calibri" w:hAnsi="Calibri" w:cs="Calibri"/>
          <w:sz w:val="24"/>
          <w:szCs w:val="24"/>
        </w:rPr>
        <w:t>17</w:t>
      </w:r>
      <w:r w:rsidRPr="0044638E">
        <w:rPr>
          <w:rFonts w:ascii="Calibri" w:hAnsi="Calibri" w:cs="Calibri"/>
          <w:sz w:val="24"/>
          <w:szCs w:val="24"/>
        </w:rPr>
        <w:br/>
      </w:r>
      <w:r w:rsidRPr="0044638E">
        <w:rPr>
          <w:rFonts w:ascii="Calibri" w:hAnsi="Calibri" w:cs="Calibri"/>
          <w:sz w:val="24"/>
          <w:szCs w:val="24"/>
        </w:rPr>
        <w:t> </w:t>
      </w:r>
      <w:r w:rsidRPr="0044638E">
        <w:rPr>
          <w:rFonts w:ascii="Calibri" w:hAnsi="Calibri" w:cs="Calibri"/>
          <w:sz w:val="24"/>
          <w:szCs w:val="24"/>
        </w:rPr>
        <w:t>6.6 Summary ...............................................................................................</w:t>
      </w:r>
      <w:r w:rsidR="00010B5E">
        <w:rPr>
          <w:rFonts w:ascii="Calibri" w:hAnsi="Calibri" w:cs="Calibri"/>
          <w:sz w:val="24"/>
          <w:szCs w:val="24"/>
        </w:rPr>
        <w:t xml:space="preserve"> 7-18</w:t>
      </w:r>
    </w:p>
    <w:p w14:paraId="419C13F3" w14:textId="77777777" w:rsidR="00452C5F" w:rsidRPr="0044638E" w:rsidRDefault="00452C5F" w:rsidP="0044638E">
      <w:pPr>
        <w:pStyle w:val="NoSpacing"/>
        <w:spacing w:line="360" w:lineRule="auto"/>
        <w:rPr>
          <w:rFonts w:ascii="Calibri" w:hAnsi="Calibri" w:cs="Calibri"/>
          <w:sz w:val="24"/>
          <w:szCs w:val="24"/>
        </w:rPr>
      </w:pPr>
    </w:p>
    <w:p w14:paraId="65336086" w14:textId="689E0642"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Conclusion</w:t>
      </w:r>
      <w:r w:rsidRPr="0044638E">
        <w:rPr>
          <w:rFonts w:ascii="Calibri" w:hAnsi="Calibri" w:cs="Calibri"/>
          <w:sz w:val="24"/>
          <w:szCs w:val="24"/>
        </w:rPr>
        <w:t xml:space="preserve"> .....................................................................................................</w:t>
      </w:r>
      <w:r w:rsidR="00010B5E">
        <w:rPr>
          <w:rFonts w:ascii="Calibri" w:hAnsi="Calibri" w:cs="Calibri"/>
          <w:sz w:val="24"/>
          <w:szCs w:val="24"/>
        </w:rPr>
        <w:t xml:space="preserve"> 18-19</w:t>
      </w:r>
    </w:p>
    <w:p w14:paraId="76D80EA0" w14:textId="77777777" w:rsidR="00452C5F" w:rsidRPr="0044638E" w:rsidRDefault="00452C5F" w:rsidP="0044638E">
      <w:pPr>
        <w:pStyle w:val="NoSpacing"/>
        <w:spacing w:line="360" w:lineRule="auto"/>
        <w:rPr>
          <w:rFonts w:ascii="Calibri" w:hAnsi="Calibri" w:cs="Calibri"/>
          <w:sz w:val="24"/>
          <w:szCs w:val="24"/>
        </w:rPr>
      </w:pPr>
    </w:p>
    <w:p w14:paraId="7F0AD050" w14:textId="1EA9784F" w:rsidR="00452C5F" w:rsidRPr="0044638E" w:rsidRDefault="00452C5F" w:rsidP="0044638E">
      <w:pPr>
        <w:pStyle w:val="NoSpacing"/>
        <w:numPr>
          <w:ilvl w:val="0"/>
          <w:numId w:val="34"/>
        </w:numPr>
        <w:spacing w:line="360" w:lineRule="auto"/>
        <w:rPr>
          <w:rFonts w:ascii="Calibri" w:hAnsi="Calibri" w:cs="Calibri"/>
          <w:sz w:val="24"/>
          <w:szCs w:val="24"/>
        </w:rPr>
      </w:pPr>
      <w:r w:rsidRPr="0044638E">
        <w:rPr>
          <w:rStyle w:val="Strong"/>
          <w:rFonts w:ascii="Calibri" w:hAnsi="Calibri" w:cs="Calibri"/>
          <w:sz w:val="24"/>
          <w:szCs w:val="24"/>
        </w:rPr>
        <w:t>References</w:t>
      </w:r>
      <w:r w:rsidRPr="0044638E">
        <w:rPr>
          <w:rFonts w:ascii="Calibri" w:hAnsi="Calibri" w:cs="Calibri"/>
          <w:sz w:val="24"/>
          <w:szCs w:val="24"/>
        </w:rPr>
        <w:t xml:space="preserve"> .....................................................................................................</w:t>
      </w:r>
      <w:r w:rsidR="00010B5E">
        <w:rPr>
          <w:rFonts w:ascii="Calibri" w:hAnsi="Calibri" w:cs="Calibri"/>
          <w:sz w:val="24"/>
          <w:szCs w:val="24"/>
        </w:rPr>
        <w:t xml:space="preserve"> 19-</w:t>
      </w:r>
      <w:r w:rsidRPr="0044638E">
        <w:rPr>
          <w:rFonts w:ascii="Calibri" w:hAnsi="Calibri" w:cs="Calibri"/>
          <w:sz w:val="24"/>
          <w:szCs w:val="24"/>
        </w:rPr>
        <w:t>2</w:t>
      </w:r>
      <w:r w:rsidR="00010B5E">
        <w:rPr>
          <w:rFonts w:ascii="Calibri" w:hAnsi="Calibri" w:cs="Calibri"/>
          <w:sz w:val="24"/>
          <w:szCs w:val="24"/>
        </w:rPr>
        <w:t>2</w:t>
      </w:r>
    </w:p>
    <w:p w14:paraId="590F05C0" w14:textId="77777777" w:rsidR="00833D67" w:rsidRPr="0044638E" w:rsidRDefault="00833D67" w:rsidP="0044638E">
      <w:pPr>
        <w:pStyle w:val="NoSpacing"/>
        <w:spacing w:line="360" w:lineRule="auto"/>
        <w:rPr>
          <w:rFonts w:ascii="Calibri" w:hAnsi="Calibri" w:cs="Calibri"/>
          <w:sz w:val="24"/>
          <w:szCs w:val="24"/>
        </w:rPr>
      </w:pPr>
    </w:p>
    <w:p w14:paraId="56B7F1CC" w14:textId="77777777" w:rsidR="005D7CB1" w:rsidRDefault="005D7CB1" w:rsidP="0044638E">
      <w:pPr>
        <w:pStyle w:val="NoSpacing"/>
        <w:spacing w:line="360" w:lineRule="auto"/>
        <w:rPr>
          <w:rFonts w:ascii="Calibri" w:hAnsi="Calibri" w:cs="Calibri"/>
          <w:color w:val="1F497D" w:themeColor="text2"/>
          <w:sz w:val="24"/>
          <w:szCs w:val="24"/>
        </w:rPr>
      </w:pPr>
    </w:p>
    <w:p w14:paraId="1E85B033" w14:textId="77777777" w:rsidR="005D7CB1" w:rsidRDefault="005D7CB1" w:rsidP="0044638E">
      <w:pPr>
        <w:pStyle w:val="NoSpacing"/>
        <w:spacing w:line="360" w:lineRule="auto"/>
        <w:rPr>
          <w:rFonts w:ascii="Calibri" w:hAnsi="Calibri" w:cs="Calibri"/>
          <w:color w:val="1F497D" w:themeColor="text2"/>
          <w:sz w:val="24"/>
          <w:szCs w:val="24"/>
        </w:rPr>
      </w:pPr>
    </w:p>
    <w:p w14:paraId="756D0639" w14:textId="77777777" w:rsidR="005D7CB1" w:rsidRDefault="005D7CB1" w:rsidP="0044638E">
      <w:pPr>
        <w:pStyle w:val="NoSpacing"/>
        <w:spacing w:line="360" w:lineRule="auto"/>
        <w:rPr>
          <w:rFonts w:ascii="Calibri" w:hAnsi="Calibri" w:cs="Calibri"/>
          <w:color w:val="1F497D" w:themeColor="text2"/>
          <w:sz w:val="24"/>
          <w:szCs w:val="24"/>
        </w:rPr>
      </w:pPr>
    </w:p>
    <w:p w14:paraId="4E5B7641" w14:textId="77777777" w:rsidR="005D7CB1" w:rsidRDefault="005D7CB1" w:rsidP="0044638E">
      <w:pPr>
        <w:pStyle w:val="NoSpacing"/>
        <w:spacing w:line="360" w:lineRule="auto"/>
        <w:rPr>
          <w:rFonts w:ascii="Calibri" w:hAnsi="Calibri" w:cs="Calibri"/>
          <w:color w:val="1F497D" w:themeColor="text2"/>
          <w:sz w:val="24"/>
          <w:szCs w:val="24"/>
        </w:rPr>
      </w:pPr>
    </w:p>
    <w:p w14:paraId="66200CFA" w14:textId="77777777" w:rsidR="005D7CB1" w:rsidRDefault="005D7CB1" w:rsidP="0044638E">
      <w:pPr>
        <w:pStyle w:val="NoSpacing"/>
        <w:spacing w:line="360" w:lineRule="auto"/>
        <w:rPr>
          <w:rFonts w:ascii="Calibri" w:hAnsi="Calibri" w:cs="Calibri"/>
          <w:color w:val="1F497D" w:themeColor="text2"/>
          <w:sz w:val="24"/>
          <w:szCs w:val="24"/>
        </w:rPr>
      </w:pPr>
    </w:p>
    <w:p w14:paraId="4582A551" w14:textId="77777777" w:rsidR="005D7CB1" w:rsidRDefault="005D7CB1" w:rsidP="0044638E">
      <w:pPr>
        <w:pStyle w:val="NoSpacing"/>
        <w:spacing w:line="360" w:lineRule="auto"/>
        <w:rPr>
          <w:rFonts w:ascii="Calibri" w:hAnsi="Calibri" w:cs="Calibri"/>
          <w:color w:val="1F497D" w:themeColor="text2"/>
          <w:sz w:val="24"/>
          <w:szCs w:val="24"/>
        </w:rPr>
      </w:pPr>
    </w:p>
    <w:p w14:paraId="4D2E6094" w14:textId="77777777" w:rsidR="005D7CB1" w:rsidRDefault="005D7CB1" w:rsidP="0044638E">
      <w:pPr>
        <w:pStyle w:val="NoSpacing"/>
        <w:spacing w:line="360" w:lineRule="auto"/>
        <w:rPr>
          <w:rFonts w:ascii="Calibri" w:hAnsi="Calibri" w:cs="Calibri"/>
          <w:color w:val="1F497D" w:themeColor="text2"/>
          <w:sz w:val="24"/>
          <w:szCs w:val="24"/>
        </w:rPr>
      </w:pPr>
    </w:p>
    <w:p w14:paraId="2178A83D" w14:textId="77777777" w:rsidR="005D7CB1" w:rsidRDefault="005D7CB1" w:rsidP="0044638E">
      <w:pPr>
        <w:pStyle w:val="NoSpacing"/>
        <w:spacing w:line="360" w:lineRule="auto"/>
        <w:rPr>
          <w:rFonts w:ascii="Calibri" w:hAnsi="Calibri" w:cs="Calibri"/>
          <w:color w:val="1F497D" w:themeColor="text2"/>
          <w:sz w:val="24"/>
          <w:szCs w:val="24"/>
        </w:rPr>
      </w:pPr>
    </w:p>
    <w:p w14:paraId="4DB1EDE9" w14:textId="073BF026" w:rsidR="002C048D" w:rsidRPr="0044638E" w:rsidRDefault="002C048D" w:rsidP="0044638E">
      <w:pPr>
        <w:pStyle w:val="NoSpacing"/>
        <w:spacing w:line="360" w:lineRule="auto"/>
        <w:rPr>
          <w:rFonts w:ascii="Calibri" w:hAnsi="Calibri" w:cs="Calibri"/>
          <w:color w:val="1F497D" w:themeColor="text2"/>
          <w:sz w:val="24"/>
          <w:szCs w:val="24"/>
        </w:rPr>
      </w:pPr>
      <w:r w:rsidRPr="0044638E">
        <w:rPr>
          <w:rFonts w:ascii="Calibri" w:hAnsi="Calibri" w:cs="Calibri"/>
          <w:color w:val="1F497D" w:themeColor="text2"/>
          <w:sz w:val="24"/>
          <w:szCs w:val="24"/>
        </w:rPr>
        <w:lastRenderedPageBreak/>
        <w:t>Data Governance and Security Challenges in FinTech</w:t>
      </w:r>
    </w:p>
    <w:p w14:paraId="3E00DBD6" w14:textId="05455910" w:rsidR="002C048D" w:rsidRPr="0044638E" w:rsidRDefault="002C048D" w:rsidP="0044638E">
      <w:pPr>
        <w:pStyle w:val="NoSpacing"/>
        <w:spacing w:line="360" w:lineRule="auto"/>
        <w:rPr>
          <w:rFonts w:ascii="Calibri" w:hAnsi="Calibri" w:cs="Calibri"/>
          <w:sz w:val="24"/>
          <w:szCs w:val="24"/>
        </w:rPr>
      </w:pPr>
    </w:p>
    <w:p w14:paraId="78D09B43" w14:textId="77777777" w:rsidR="00E74904" w:rsidRDefault="002C048D" w:rsidP="00E74904">
      <w:pPr>
        <w:spacing w:line="360" w:lineRule="auto"/>
        <w:rPr>
          <w:rFonts w:ascii="Calibri" w:hAnsi="Calibri" w:cs="Calibri"/>
          <w:color w:val="1F497D" w:themeColor="text2"/>
          <w:sz w:val="24"/>
          <w:szCs w:val="24"/>
        </w:rPr>
      </w:pPr>
      <w:r w:rsidRPr="0044638E">
        <w:rPr>
          <w:rFonts w:ascii="Calibri" w:hAnsi="Calibri" w:cs="Calibri"/>
          <w:color w:val="1F497D" w:themeColor="text2"/>
          <w:sz w:val="24"/>
          <w:szCs w:val="24"/>
        </w:rPr>
        <w:t>1. Problem Statement and Importance</w:t>
      </w:r>
    </w:p>
    <w:p w14:paraId="35ADBFE1" w14:textId="7746F923" w:rsidR="00E74904" w:rsidRPr="00E74904" w:rsidRDefault="002C048D" w:rsidP="007A51E2">
      <w:pPr>
        <w:spacing w:line="360" w:lineRule="auto"/>
        <w:jc w:val="both"/>
        <w:rPr>
          <w:rFonts w:ascii="Calibri" w:hAnsi="Calibri" w:cs="Calibri"/>
          <w:color w:val="1F497D" w:themeColor="text2"/>
          <w:sz w:val="24"/>
          <w:szCs w:val="24"/>
        </w:rPr>
      </w:pPr>
      <w:r w:rsidRPr="0044638E">
        <w:rPr>
          <w:rFonts w:ascii="Calibri" w:hAnsi="Calibri" w:cs="Calibri"/>
          <w:sz w:val="24"/>
          <w:szCs w:val="24"/>
        </w:rPr>
        <w:t>In the digital era, data has become the backbone of innovation in financial services. The FinTech revolution</w:t>
      </w:r>
      <w:r w:rsidR="00833D67" w:rsidRPr="0044638E">
        <w:rPr>
          <w:rFonts w:ascii="Calibri" w:hAnsi="Calibri" w:cs="Calibri"/>
          <w:sz w:val="24"/>
          <w:szCs w:val="24"/>
        </w:rPr>
        <w:t xml:space="preserve"> </w:t>
      </w:r>
      <w:r w:rsidRPr="0044638E">
        <w:rPr>
          <w:rFonts w:ascii="Calibri" w:hAnsi="Calibri" w:cs="Calibri"/>
          <w:sz w:val="24"/>
          <w:szCs w:val="24"/>
        </w:rPr>
        <w:t>characterised by rapid advancements in mobile technology, blockchain, artificial intelligence, and open banking</w:t>
      </w:r>
      <w:r w:rsidR="00833D67" w:rsidRPr="0044638E">
        <w:rPr>
          <w:rFonts w:ascii="Calibri" w:hAnsi="Calibri" w:cs="Calibri"/>
          <w:sz w:val="24"/>
          <w:szCs w:val="24"/>
        </w:rPr>
        <w:t xml:space="preserve"> </w:t>
      </w:r>
      <w:r w:rsidRPr="0044638E">
        <w:rPr>
          <w:rFonts w:ascii="Calibri" w:hAnsi="Calibri" w:cs="Calibri"/>
          <w:sz w:val="24"/>
          <w:szCs w:val="24"/>
        </w:rPr>
        <w:t xml:space="preserve">has transformed the delivery of financial services. This has given rise to platform lenders, </w:t>
      </w:r>
      <w:proofErr w:type="spellStart"/>
      <w:r w:rsidRPr="0044638E">
        <w:rPr>
          <w:rFonts w:ascii="Calibri" w:hAnsi="Calibri" w:cs="Calibri"/>
          <w:sz w:val="24"/>
          <w:szCs w:val="24"/>
        </w:rPr>
        <w:t>neobanks</w:t>
      </w:r>
      <w:proofErr w:type="spellEnd"/>
      <w:r w:rsidRPr="0044638E">
        <w:rPr>
          <w:rFonts w:ascii="Calibri" w:hAnsi="Calibri" w:cs="Calibri"/>
          <w:sz w:val="24"/>
          <w:szCs w:val="24"/>
        </w:rPr>
        <w:t>, and other technology-first institutions that challenge the traditional banking model by offering faster, more convenient, and often more inclusive services. However, these innovations are fundamentally reliant on the seamless and secure collection, processing, and storage of data.</w:t>
      </w:r>
      <w:r w:rsidR="005D7CB1">
        <w:rPr>
          <w:rFonts w:ascii="Calibri" w:hAnsi="Calibri" w:cs="Calibri"/>
          <w:sz w:val="24"/>
          <w:szCs w:val="24"/>
        </w:rPr>
        <w:t xml:space="preserve"> </w:t>
      </w:r>
      <w:r w:rsidRPr="0044638E">
        <w:rPr>
          <w:rFonts w:ascii="Calibri" w:hAnsi="Calibri" w:cs="Calibri"/>
          <w:sz w:val="24"/>
          <w:szCs w:val="24"/>
        </w:rPr>
        <w:t xml:space="preserve">As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scale, they encounter significant challenges in data governance and cybersecurity. Unlike traditional banks, which have decades of experience building mature compliance and data protection systems, many FinTech firms adopt agile development models that prioritise speed and market disruption. This can lead to fragmented data architectures, inconsistent standards, and vulnerability to breaches. A 2023 IBM Security report noted that financial services remained the most attacked sector for the seventh consecutive year, with an average breach cost of over $5 million. Moreover, regulatory compliance requirements such as GDPR, PSD2, and the Financial Conduct Authority (FCA) guidelines place additional burdens on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to demonstrate data integrity, transparency, and risk mitigation.</w:t>
      </w:r>
      <w:r w:rsidR="005D7CB1">
        <w:rPr>
          <w:rFonts w:ascii="Calibri" w:hAnsi="Calibri" w:cs="Calibri"/>
          <w:sz w:val="24"/>
          <w:szCs w:val="24"/>
        </w:rPr>
        <w:t xml:space="preserve"> </w:t>
      </w:r>
      <w:r w:rsidRPr="0044638E">
        <w:rPr>
          <w:rFonts w:ascii="Calibri" w:hAnsi="Calibri" w:cs="Calibri"/>
          <w:sz w:val="24"/>
          <w:szCs w:val="24"/>
        </w:rPr>
        <w:t xml:space="preserve">These issues are particularly pressing in the UK, which remains a global FinTech hub. The sector contributed over £11 billion to the UK economy in 2022 and continues to expand. Despite this success, the rapid proliferation of digital platforms has prompted regulatory scrutiny. In 2023, the FCA conducted thematic reviews into data protection practices at </w:t>
      </w:r>
      <w:proofErr w:type="spellStart"/>
      <w:r w:rsidRPr="0044638E">
        <w:rPr>
          <w:rFonts w:ascii="Calibri" w:hAnsi="Calibri" w:cs="Calibri"/>
          <w:sz w:val="24"/>
          <w:szCs w:val="24"/>
        </w:rPr>
        <w:t>neobanks</w:t>
      </w:r>
      <w:proofErr w:type="spellEnd"/>
      <w:r w:rsidRPr="0044638E">
        <w:rPr>
          <w:rFonts w:ascii="Calibri" w:hAnsi="Calibri" w:cs="Calibri"/>
          <w:sz w:val="24"/>
          <w:szCs w:val="24"/>
        </w:rPr>
        <w:t xml:space="preserve"> and flagged gaps in vendor risk management and user consent flows. Simultaneously, consumers are growing more aware and concerned about how their personal data is used, stored, and </w:t>
      </w:r>
      <w:proofErr w:type="spellStart"/>
      <w:r w:rsidRPr="0044638E">
        <w:rPr>
          <w:rFonts w:ascii="Calibri" w:hAnsi="Calibri" w:cs="Calibri"/>
          <w:sz w:val="24"/>
          <w:szCs w:val="24"/>
        </w:rPr>
        <w:t>monetised</w:t>
      </w:r>
      <w:proofErr w:type="spellEnd"/>
      <w:r w:rsidRPr="0044638E">
        <w:rPr>
          <w:rFonts w:ascii="Calibri" w:hAnsi="Calibri" w:cs="Calibri"/>
          <w:sz w:val="24"/>
          <w:szCs w:val="24"/>
        </w:rPr>
        <w:t>.</w:t>
      </w:r>
      <w:r w:rsidR="005D7CB1">
        <w:rPr>
          <w:rFonts w:ascii="Calibri" w:hAnsi="Calibri" w:cs="Calibri"/>
          <w:sz w:val="24"/>
          <w:szCs w:val="24"/>
        </w:rPr>
        <w:t xml:space="preserve"> </w:t>
      </w:r>
      <w:r w:rsidRPr="0044638E">
        <w:rPr>
          <w:rFonts w:ascii="Calibri" w:hAnsi="Calibri" w:cs="Calibri"/>
          <w:sz w:val="24"/>
          <w:szCs w:val="24"/>
        </w:rPr>
        <w:t xml:space="preserve">Against this backdrop, data governance and security are not only operational concerns but strategic imperatives for FinTech lenders. Without robust frameworks in place, firms face reputational risks, regulatory </w:t>
      </w:r>
      <w:r w:rsidRPr="0044638E">
        <w:rPr>
          <w:rFonts w:ascii="Calibri" w:hAnsi="Calibri" w:cs="Calibri"/>
          <w:sz w:val="24"/>
          <w:szCs w:val="24"/>
        </w:rPr>
        <w:lastRenderedPageBreak/>
        <w:t>sanctions, and erosion of customer trust. High-profile breaches</w:t>
      </w:r>
      <w:r w:rsidR="00833D67" w:rsidRPr="0044638E">
        <w:rPr>
          <w:rFonts w:ascii="Calibri" w:hAnsi="Calibri" w:cs="Calibri"/>
          <w:sz w:val="24"/>
          <w:szCs w:val="24"/>
        </w:rPr>
        <w:t xml:space="preserve"> </w:t>
      </w:r>
      <w:r w:rsidRPr="0044638E">
        <w:rPr>
          <w:rFonts w:ascii="Calibri" w:hAnsi="Calibri" w:cs="Calibri"/>
          <w:sz w:val="24"/>
          <w:szCs w:val="24"/>
        </w:rPr>
        <w:t xml:space="preserve">such as the 2022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data incident that impacted over 50,000 users</w:t>
      </w:r>
      <w:r w:rsidR="00833D67" w:rsidRPr="0044638E">
        <w:rPr>
          <w:rFonts w:ascii="Calibri" w:hAnsi="Calibri" w:cs="Calibri"/>
          <w:sz w:val="24"/>
          <w:szCs w:val="24"/>
        </w:rPr>
        <w:t xml:space="preserve"> </w:t>
      </w:r>
      <w:r w:rsidRPr="0044638E">
        <w:rPr>
          <w:rFonts w:ascii="Calibri" w:hAnsi="Calibri" w:cs="Calibri"/>
          <w:sz w:val="24"/>
          <w:szCs w:val="24"/>
        </w:rPr>
        <w:t>underscore the stakes.</w:t>
      </w:r>
      <w:r w:rsidR="00E74904">
        <w:rPr>
          <w:rFonts w:ascii="Calibri" w:hAnsi="Calibri" w:cs="Calibri"/>
          <w:sz w:val="24"/>
          <w:szCs w:val="24"/>
        </w:rPr>
        <w:t xml:space="preserve"> </w:t>
      </w:r>
      <w:r w:rsidRPr="0044638E">
        <w:rPr>
          <w:rFonts w:ascii="Calibri" w:hAnsi="Calibri" w:cs="Calibri"/>
          <w:sz w:val="24"/>
          <w:szCs w:val="24"/>
        </w:rPr>
        <w:t xml:space="preserve">This research seeks to examine the specific governance and cybersecurity challenges faced by FinTech lenders, especially within the UK context. It explores how these institutions manage data lifecycle processes, safeguard user privacy, and build resilience against cyber threats while complying with an increasingly complex regulatory environment. It also considers how the strategic responses of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compare with those of incumbent banks, which have begun to emulate digital models while leveraging their institutional robustness.</w:t>
      </w:r>
      <w:r w:rsidR="00E74904">
        <w:rPr>
          <w:rFonts w:ascii="Calibri" w:hAnsi="Calibri" w:cs="Calibri"/>
          <w:sz w:val="24"/>
          <w:szCs w:val="24"/>
        </w:rPr>
        <w:t xml:space="preserve"> </w:t>
      </w:r>
      <w:r w:rsidRPr="0044638E">
        <w:rPr>
          <w:rFonts w:ascii="Calibri" w:hAnsi="Calibri" w:cs="Calibri"/>
          <w:sz w:val="24"/>
          <w:szCs w:val="24"/>
        </w:rPr>
        <w:t>By focusing on FinTech lenders</w:t>
      </w:r>
      <w:r w:rsidR="00833D67" w:rsidRPr="0044638E">
        <w:rPr>
          <w:rFonts w:ascii="Calibri" w:hAnsi="Calibri" w:cs="Calibri"/>
          <w:sz w:val="24"/>
          <w:szCs w:val="24"/>
        </w:rPr>
        <w:t xml:space="preserve"> </w:t>
      </w:r>
      <w:r w:rsidRPr="0044638E">
        <w:rPr>
          <w:rFonts w:ascii="Calibri" w:hAnsi="Calibri" w:cs="Calibri"/>
          <w:sz w:val="24"/>
          <w:szCs w:val="24"/>
        </w:rPr>
        <w:t xml:space="preserve">defined as digitally-native financial service providers including </w:t>
      </w:r>
      <w:proofErr w:type="spellStart"/>
      <w:r w:rsidRPr="0044638E">
        <w:rPr>
          <w:rFonts w:ascii="Calibri" w:hAnsi="Calibri" w:cs="Calibri"/>
          <w:sz w:val="24"/>
          <w:szCs w:val="24"/>
        </w:rPr>
        <w:t>neobanks</w:t>
      </w:r>
      <w:proofErr w:type="spellEnd"/>
      <w:r w:rsidRPr="0044638E">
        <w:rPr>
          <w:rFonts w:ascii="Calibri" w:hAnsi="Calibri" w:cs="Calibri"/>
          <w:sz w:val="24"/>
          <w:szCs w:val="24"/>
        </w:rPr>
        <w:t xml:space="preserve"> like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and Starling, and lending platforms like </w:t>
      </w:r>
      <w:proofErr w:type="spellStart"/>
      <w:r w:rsidRPr="0044638E">
        <w:rPr>
          <w:rFonts w:ascii="Calibri" w:hAnsi="Calibri" w:cs="Calibri"/>
          <w:sz w:val="24"/>
          <w:szCs w:val="24"/>
        </w:rPr>
        <w:t>Zopa</w:t>
      </w:r>
      <w:proofErr w:type="spellEnd"/>
      <w:r w:rsidR="00833D67" w:rsidRPr="0044638E">
        <w:rPr>
          <w:rFonts w:ascii="Calibri" w:hAnsi="Calibri" w:cs="Calibri"/>
          <w:sz w:val="24"/>
          <w:szCs w:val="24"/>
        </w:rPr>
        <w:t xml:space="preserve"> </w:t>
      </w:r>
      <w:r w:rsidRPr="0044638E">
        <w:rPr>
          <w:rFonts w:ascii="Calibri" w:hAnsi="Calibri" w:cs="Calibri"/>
          <w:sz w:val="24"/>
          <w:szCs w:val="24"/>
        </w:rPr>
        <w:t>this research addresses a crucial, yet underexamined, area in FinTech risk management. As digital financial services become ubiquitous, understanding how to effectively govern and secure data is key not only to firm success but also to safeguarding the broader financial system.</w:t>
      </w:r>
      <w:r w:rsidR="00E74904">
        <w:rPr>
          <w:rFonts w:ascii="Calibri" w:hAnsi="Calibri" w:cs="Calibri"/>
          <w:sz w:val="24"/>
          <w:szCs w:val="24"/>
        </w:rPr>
        <w:t xml:space="preserve"> </w:t>
      </w:r>
      <w:r w:rsidRPr="0044638E">
        <w:rPr>
          <w:rFonts w:ascii="Calibri" w:hAnsi="Calibri" w:cs="Calibri"/>
          <w:sz w:val="24"/>
          <w:szCs w:val="24"/>
        </w:rPr>
        <w:t>Thus, the problem at hand is multifaceted: How can FinTech lenders navigate the operational, legal, and ethical challenges associated with data governance and security? How do these challenges affect their strategic viability, consumer relationships, and regulatory posture? Answering these questions will contribute to the emerging field of FinTech governance and inform both academic debate and policy development.</w:t>
      </w:r>
    </w:p>
    <w:p w14:paraId="6EF7C4D7" w14:textId="77777777" w:rsidR="00E74904" w:rsidRDefault="002C048D" w:rsidP="005D7CB1">
      <w:pPr>
        <w:pStyle w:val="NoSpacing"/>
        <w:spacing w:line="360" w:lineRule="auto"/>
        <w:jc w:val="both"/>
        <w:rPr>
          <w:rFonts w:ascii="Calibri" w:hAnsi="Calibri" w:cs="Calibri"/>
          <w:sz w:val="24"/>
          <w:szCs w:val="24"/>
        </w:rPr>
      </w:pPr>
      <w:r w:rsidRPr="005D7CB1">
        <w:rPr>
          <w:rFonts w:ascii="Calibri" w:hAnsi="Calibri" w:cs="Calibri"/>
          <w:color w:val="1F497D" w:themeColor="text2"/>
          <w:sz w:val="24"/>
          <w:szCs w:val="24"/>
        </w:rPr>
        <w:t>2. Literature Review</w:t>
      </w:r>
    </w:p>
    <w:p w14:paraId="6560CD4A" w14:textId="7A38C558" w:rsidR="002C048D" w:rsidRPr="005D7CB1" w:rsidRDefault="002C048D" w:rsidP="005D7CB1">
      <w:pPr>
        <w:pStyle w:val="NoSpacing"/>
        <w:spacing w:line="360" w:lineRule="auto"/>
        <w:jc w:val="both"/>
        <w:rPr>
          <w:rFonts w:ascii="Calibri" w:hAnsi="Calibri" w:cs="Calibri"/>
          <w:sz w:val="24"/>
          <w:szCs w:val="24"/>
        </w:rPr>
      </w:pPr>
      <w:r w:rsidRPr="005D7CB1">
        <w:rPr>
          <w:rFonts w:ascii="Calibri" w:hAnsi="Calibri" w:cs="Calibri"/>
          <w:sz w:val="24"/>
          <w:szCs w:val="24"/>
        </w:rPr>
        <w:t>The literature on FinTech innovation and its implications for financial services has grown considerably over the last decade. Within this corpus, a more focused body of work has emerged around the topics of data governance and cybersecurity in digital finance. This literature review synthesises existing research relevant to these issues, particularly as they apply to FinTech lenders</w:t>
      </w:r>
      <w:r w:rsidR="00833D67" w:rsidRPr="005D7CB1">
        <w:rPr>
          <w:rFonts w:ascii="Calibri" w:hAnsi="Calibri" w:cs="Calibri"/>
          <w:sz w:val="24"/>
          <w:szCs w:val="24"/>
        </w:rPr>
        <w:t xml:space="preserve"> </w:t>
      </w:r>
      <w:r w:rsidRPr="005D7CB1">
        <w:rPr>
          <w:rFonts w:ascii="Calibri" w:hAnsi="Calibri" w:cs="Calibri"/>
          <w:sz w:val="24"/>
          <w:szCs w:val="24"/>
        </w:rPr>
        <w:t xml:space="preserve">including challenger banks, </w:t>
      </w:r>
      <w:proofErr w:type="spellStart"/>
      <w:r w:rsidRPr="005D7CB1">
        <w:rPr>
          <w:rFonts w:ascii="Calibri" w:hAnsi="Calibri" w:cs="Calibri"/>
          <w:sz w:val="24"/>
          <w:szCs w:val="24"/>
        </w:rPr>
        <w:t>neobanks</w:t>
      </w:r>
      <w:proofErr w:type="spellEnd"/>
      <w:r w:rsidRPr="005D7CB1">
        <w:rPr>
          <w:rFonts w:ascii="Calibri" w:hAnsi="Calibri" w:cs="Calibri"/>
          <w:sz w:val="24"/>
          <w:szCs w:val="24"/>
        </w:rPr>
        <w:t>, and platform lenders.</w:t>
      </w:r>
    </w:p>
    <w:p w14:paraId="6BE4B17C" w14:textId="77777777" w:rsidR="00E74904" w:rsidRDefault="00E74904" w:rsidP="0044638E">
      <w:pPr>
        <w:pStyle w:val="NoSpacing"/>
        <w:spacing w:line="360" w:lineRule="auto"/>
        <w:rPr>
          <w:rFonts w:ascii="Calibri" w:hAnsi="Calibri" w:cs="Calibri"/>
          <w:sz w:val="24"/>
          <w:szCs w:val="24"/>
        </w:rPr>
      </w:pPr>
    </w:p>
    <w:p w14:paraId="3A271DF1" w14:textId="77777777" w:rsidR="00E74904" w:rsidRDefault="00E74904" w:rsidP="00E74904">
      <w:pPr>
        <w:pStyle w:val="NoSpacing"/>
        <w:spacing w:line="360" w:lineRule="auto"/>
        <w:rPr>
          <w:rFonts w:ascii="Calibri" w:hAnsi="Calibri" w:cs="Calibri"/>
          <w:color w:val="1F497D" w:themeColor="text2"/>
          <w:sz w:val="24"/>
          <w:szCs w:val="24"/>
        </w:rPr>
      </w:pPr>
    </w:p>
    <w:p w14:paraId="6C74D096" w14:textId="77777777" w:rsidR="00E74904" w:rsidRDefault="00E74904" w:rsidP="00E74904">
      <w:pPr>
        <w:pStyle w:val="NoSpacing"/>
        <w:spacing w:line="360" w:lineRule="auto"/>
        <w:rPr>
          <w:rFonts w:ascii="Calibri" w:hAnsi="Calibri" w:cs="Calibri"/>
          <w:color w:val="1F497D" w:themeColor="text2"/>
          <w:sz w:val="24"/>
          <w:szCs w:val="24"/>
        </w:rPr>
      </w:pPr>
    </w:p>
    <w:p w14:paraId="57FBD662" w14:textId="09B47EE5" w:rsidR="00E74904" w:rsidRDefault="002C048D" w:rsidP="00E74904">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lastRenderedPageBreak/>
        <w:t>2.1 Data Governance: Concepts and Relevance</w:t>
      </w:r>
    </w:p>
    <w:p w14:paraId="06B28CBE" w14:textId="4B779993" w:rsidR="002C048D" w:rsidRPr="00E74904" w:rsidRDefault="002C048D" w:rsidP="00E74904">
      <w:pPr>
        <w:pStyle w:val="NoSpacing"/>
        <w:spacing w:line="360" w:lineRule="auto"/>
        <w:jc w:val="both"/>
        <w:rPr>
          <w:rFonts w:ascii="Calibri" w:hAnsi="Calibri" w:cs="Calibri"/>
          <w:color w:val="1F497D" w:themeColor="text2"/>
          <w:sz w:val="24"/>
          <w:szCs w:val="24"/>
        </w:rPr>
      </w:pPr>
      <w:r w:rsidRPr="0044638E">
        <w:rPr>
          <w:rFonts w:ascii="Calibri" w:hAnsi="Calibri" w:cs="Calibri"/>
          <w:sz w:val="24"/>
          <w:szCs w:val="24"/>
        </w:rPr>
        <w:t>Data governance refers to the set of policies, standards, and practices that govern the lifecycle of data, ensuring its quality, security, and compliance with legal standards. According to the Data Management Association (DAMA, 2021), key components include data ownership, quality control, access management, and regulatory compliance.</w:t>
      </w:r>
      <w:r w:rsidR="00E74904">
        <w:rPr>
          <w:rFonts w:ascii="Calibri" w:hAnsi="Calibri" w:cs="Calibri"/>
          <w:color w:val="1F497D" w:themeColor="text2"/>
          <w:sz w:val="24"/>
          <w:szCs w:val="24"/>
        </w:rPr>
        <w:t xml:space="preserve"> </w:t>
      </w:r>
      <w:proofErr w:type="spellStart"/>
      <w:r w:rsidRPr="0044638E">
        <w:rPr>
          <w:rFonts w:ascii="Calibri" w:hAnsi="Calibri" w:cs="Calibri"/>
          <w:sz w:val="24"/>
          <w:szCs w:val="24"/>
        </w:rPr>
        <w:t>Sallam</w:t>
      </w:r>
      <w:proofErr w:type="spellEnd"/>
      <w:r w:rsidRPr="0044638E">
        <w:rPr>
          <w:rFonts w:ascii="Calibri" w:hAnsi="Calibri" w:cs="Calibri"/>
          <w:sz w:val="24"/>
          <w:szCs w:val="24"/>
        </w:rPr>
        <w:t xml:space="preserve"> et al. (2019) assert that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require a tailored governance framework due to their fast-changing technology stacks and customer-centric business models. While banks traditionally invest heavily in internal governance functions,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tend to </w:t>
      </w:r>
      <w:proofErr w:type="spellStart"/>
      <w:r w:rsidRPr="0044638E">
        <w:rPr>
          <w:rFonts w:ascii="Calibri" w:hAnsi="Calibri" w:cs="Calibri"/>
          <w:sz w:val="24"/>
          <w:szCs w:val="24"/>
        </w:rPr>
        <w:t>prioritise</w:t>
      </w:r>
      <w:proofErr w:type="spellEnd"/>
      <w:r w:rsidRPr="0044638E">
        <w:rPr>
          <w:rFonts w:ascii="Calibri" w:hAnsi="Calibri" w:cs="Calibri"/>
          <w:sz w:val="24"/>
          <w:szCs w:val="24"/>
        </w:rPr>
        <w:t xml:space="preserve"> growth and agility, often at the expense of robust data management systems (</w:t>
      </w:r>
      <w:proofErr w:type="spellStart"/>
      <w:r w:rsidRPr="0044638E">
        <w:rPr>
          <w:rFonts w:ascii="Calibri" w:hAnsi="Calibri" w:cs="Calibri"/>
          <w:sz w:val="24"/>
          <w:szCs w:val="24"/>
        </w:rPr>
        <w:t>Zetzsche</w:t>
      </w:r>
      <w:proofErr w:type="spellEnd"/>
      <w:r w:rsidRPr="0044638E">
        <w:rPr>
          <w:rFonts w:ascii="Calibri" w:hAnsi="Calibri" w:cs="Calibri"/>
          <w:sz w:val="24"/>
          <w:szCs w:val="24"/>
        </w:rPr>
        <w:t xml:space="preserve"> et al., 2020). Boot et al. (2021) argue that this creates a paradox</w:t>
      </w:r>
      <w:r w:rsidR="00833D67" w:rsidRPr="0044638E">
        <w:rPr>
          <w:rFonts w:ascii="Calibri" w:hAnsi="Calibri" w:cs="Calibri"/>
          <w:sz w:val="24"/>
          <w:szCs w:val="24"/>
        </w:rPr>
        <w:t xml:space="preserve"> </w:t>
      </w:r>
      <w:r w:rsidRPr="0044638E">
        <w:rPr>
          <w:rFonts w:ascii="Calibri" w:hAnsi="Calibri" w:cs="Calibri"/>
          <w:sz w:val="24"/>
          <w:szCs w:val="24"/>
        </w:rPr>
        <w:t xml:space="preserve">while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are digitally advanced, their data governance maturity often lags behind.</w:t>
      </w:r>
    </w:p>
    <w:p w14:paraId="6DE141FF" w14:textId="77777777" w:rsidR="00452C5F" w:rsidRPr="0044638E" w:rsidRDefault="00452C5F" w:rsidP="0044638E">
      <w:pPr>
        <w:pStyle w:val="NoSpacing"/>
        <w:spacing w:line="360" w:lineRule="auto"/>
        <w:rPr>
          <w:rFonts w:ascii="Calibri" w:hAnsi="Calibri" w:cs="Calibri"/>
          <w:sz w:val="24"/>
          <w:szCs w:val="24"/>
        </w:rPr>
      </w:pPr>
    </w:p>
    <w:p w14:paraId="0ACE1384" w14:textId="75ADD20A" w:rsidR="002C048D" w:rsidRPr="005D7CB1" w:rsidRDefault="002C048D" w:rsidP="0044638E">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t>2.2 Cybersecurity in Financial Services</w:t>
      </w:r>
    </w:p>
    <w:p w14:paraId="78AAF920" w14:textId="52242D7F" w:rsidR="00E74904" w:rsidRPr="0044638E" w:rsidRDefault="002C048D" w:rsidP="005D7CB1">
      <w:pPr>
        <w:pStyle w:val="NoSpacing"/>
        <w:spacing w:line="360" w:lineRule="auto"/>
        <w:jc w:val="both"/>
        <w:rPr>
          <w:rFonts w:ascii="Calibri" w:hAnsi="Calibri" w:cs="Calibri"/>
          <w:sz w:val="24"/>
          <w:szCs w:val="24"/>
        </w:rPr>
      </w:pPr>
      <w:r w:rsidRPr="0044638E">
        <w:rPr>
          <w:rFonts w:ascii="Calibri" w:hAnsi="Calibri" w:cs="Calibri"/>
          <w:sz w:val="24"/>
          <w:szCs w:val="24"/>
        </w:rPr>
        <w:t>Cybersecurity in financial services has been examined extensively, especially in light of the growing frequency and sophistication of attacks. The National Institute of Standards and Technology (NIST, 2018) and ISO/IEC 27001 (2013) frameworks are global benchmarks for cybersecurity governance. Yet, adherence varies significantly across FinTech firms.</w:t>
      </w:r>
      <w:r w:rsidR="00E74904">
        <w:rPr>
          <w:rFonts w:ascii="Calibri" w:hAnsi="Calibri" w:cs="Calibri"/>
          <w:sz w:val="24"/>
          <w:szCs w:val="24"/>
        </w:rPr>
        <w:t xml:space="preserve"> </w:t>
      </w:r>
      <w:proofErr w:type="spellStart"/>
      <w:r w:rsidRPr="0044638E">
        <w:rPr>
          <w:rFonts w:ascii="Calibri" w:hAnsi="Calibri" w:cs="Calibri"/>
          <w:sz w:val="24"/>
          <w:szCs w:val="24"/>
        </w:rPr>
        <w:t>Bouveret</w:t>
      </w:r>
      <w:proofErr w:type="spellEnd"/>
      <w:r w:rsidRPr="0044638E">
        <w:rPr>
          <w:rFonts w:ascii="Calibri" w:hAnsi="Calibri" w:cs="Calibri"/>
          <w:sz w:val="24"/>
          <w:szCs w:val="24"/>
        </w:rPr>
        <w:t xml:space="preserve"> (2018) estimates that cyberattacks on financial institutions could lead to systemic consequences, especially where </w:t>
      </w:r>
      <w:proofErr w:type="gramStart"/>
      <w:r w:rsidRPr="0044638E">
        <w:rPr>
          <w:rFonts w:ascii="Calibri" w:hAnsi="Calibri" w:cs="Calibri"/>
          <w:sz w:val="24"/>
          <w:szCs w:val="24"/>
        </w:rPr>
        <w:t>third</w:t>
      </w:r>
      <w:r w:rsidR="00833D67" w:rsidRPr="0044638E">
        <w:rPr>
          <w:rFonts w:ascii="Calibri" w:hAnsi="Calibri" w:cs="Calibri"/>
          <w:sz w:val="24"/>
          <w:szCs w:val="24"/>
        </w:rPr>
        <w:t xml:space="preserve"> </w:t>
      </w:r>
      <w:r w:rsidRPr="0044638E">
        <w:rPr>
          <w:rFonts w:ascii="Calibri" w:hAnsi="Calibri" w:cs="Calibri"/>
          <w:sz w:val="24"/>
          <w:szCs w:val="24"/>
        </w:rPr>
        <w:t>party</w:t>
      </w:r>
      <w:proofErr w:type="gramEnd"/>
      <w:r w:rsidRPr="0044638E">
        <w:rPr>
          <w:rFonts w:ascii="Calibri" w:hAnsi="Calibri" w:cs="Calibri"/>
          <w:sz w:val="24"/>
          <w:szCs w:val="24"/>
        </w:rPr>
        <w:t xml:space="preserve"> service providers are compromised. </w:t>
      </w:r>
      <w:proofErr w:type="spellStart"/>
      <w:r w:rsidRPr="0044638E">
        <w:rPr>
          <w:rFonts w:ascii="Calibri" w:hAnsi="Calibri" w:cs="Calibri"/>
          <w:sz w:val="24"/>
          <w:szCs w:val="24"/>
        </w:rPr>
        <w:t>Aldasoro</w:t>
      </w:r>
      <w:proofErr w:type="spellEnd"/>
      <w:r w:rsidRPr="0044638E">
        <w:rPr>
          <w:rFonts w:ascii="Calibri" w:hAnsi="Calibri" w:cs="Calibri"/>
          <w:sz w:val="24"/>
          <w:szCs w:val="24"/>
        </w:rPr>
        <w:t xml:space="preserve"> et al. (2022) note that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reliance on cloud infrastructure and open APIs expands their attack surface, requiring multilayered </w:t>
      </w:r>
      <w:proofErr w:type="spellStart"/>
      <w:r w:rsidRPr="0044638E">
        <w:rPr>
          <w:rFonts w:ascii="Calibri" w:hAnsi="Calibri" w:cs="Calibri"/>
          <w:sz w:val="24"/>
          <w:szCs w:val="24"/>
        </w:rPr>
        <w:t>defences</w:t>
      </w:r>
      <w:proofErr w:type="spellEnd"/>
      <w:r w:rsidRPr="0044638E">
        <w:rPr>
          <w:rFonts w:ascii="Calibri" w:hAnsi="Calibri" w:cs="Calibri"/>
          <w:sz w:val="24"/>
          <w:szCs w:val="24"/>
        </w:rPr>
        <w:t xml:space="preserve"> and stringent incident response planning.</w:t>
      </w:r>
      <w:r w:rsidR="00E74904">
        <w:rPr>
          <w:rFonts w:ascii="Calibri" w:hAnsi="Calibri" w:cs="Calibri"/>
          <w:sz w:val="24"/>
          <w:szCs w:val="24"/>
        </w:rPr>
        <w:t xml:space="preserve"> </w:t>
      </w:r>
      <w:r w:rsidRPr="0044638E">
        <w:rPr>
          <w:rFonts w:ascii="Calibri" w:hAnsi="Calibri" w:cs="Calibri"/>
          <w:sz w:val="24"/>
          <w:szCs w:val="24"/>
        </w:rPr>
        <w:t xml:space="preserve">In the UK, the FCA (2023) has made cybersecurity a supervisory priority. The regulator expects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to adopt principles of operational resilience, implement robust change management processes, and test cyber incident response protocols. However, surveys by Innovate Finance (2022) indicate that only 40% of UK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perform regular security audits.</w:t>
      </w:r>
    </w:p>
    <w:p w14:paraId="3D691BB2" w14:textId="77777777" w:rsidR="00452C5F" w:rsidRPr="0044638E" w:rsidRDefault="00452C5F" w:rsidP="0044638E">
      <w:pPr>
        <w:pStyle w:val="NoSpacing"/>
        <w:spacing w:line="360" w:lineRule="auto"/>
        <w:rPr>
          <w:rFonts w:ascii="Calibri" w:hAnsi="Calibri" w:cs="Calibri"/>
          <w:sz w:val="24"/>
          <w:szCs w:val="24"/>
        </w:rPr>
      </w:pPr>
    </w:p>
    <w:p w14:paraId="7C33F2A5" w14:textId="77777777" w:rsidR="00E74904" w:rsidRDefault="00E74904" w:rsidP="00E74904">
      <w:pPr>
        <w:pStyle w:val="NoSpacing"/>
        <w:spacing w:line="360" w:lineRule="auto"/>
        <w:rPr>
          <w:rFonts w:ascii="Calibri" w:hAnsi="Calibri" w:cs="Calibri"/>
          <w:color w:val="1F497D" w:themeColor="text2"/>
          <w:sz w:val="24"/>
          <w:szCs w:val="24"/>
        </w:rPr>
      </w:pPr>
    </w:p>
    <w:p w14:paraId="7D8574CE" w14:textId="77777777" w:rsidR="00E74904" w:rsidRDefault="00E74904" w:rsidP="00E74904">
      <w:pPr>
        <w:pStyle w:val="NoSpacing"/>
        <w:spacing w:line="360" w:lineRule="auto"/>
        <w:rPr>
          <w:rFonts w:ascii="Calibri" w:hAnsi="Calibri" w:cs="Calibri"/>
          <w:color w:val="1F497D" w:themeColor="text2"/>
          <w:sz w:val="24"/>
          <w:szCs w:val="24"/>
        </w:rPr>
      </w:pPr>
    </w:p>
    <w:p w14:paraId="3DA1B551" w14:textId="6FF0A20B" w:rsidR="00E74904" w:rsidRDefault="002C048D" w:rsidP="00E74904">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lastRenderedPageBreak/>
        <w:t>2.3 FinTech vs Traditional Banking Approaches</w:t>
      </w:r>
    </w:p>
    <w:p w14:paraId="38443387" w14:textId="3AD95757" w:rsidR="002C048D" w:rsidRPr="00E74904" w:rsidRDefault="002C048D" w:rsidP="00E74904">
      <w:pPr>
        <w:pStyle w:val="NoSpacing"/>
        <w:spacing w:line="360" w:lineRule="auto"/>
        <w:jc w:val="both"/>
        <w:rPr>
          <w:rFonts w:ascii="Calibri" w:hAnsi="Calibri" w:cs="Calibri"/>
          <w:sz w:val="24"/>
          <w:szCs w:val="24"/>
        </w:rPr>
      </w:pPr>
      <w:r w:rsidRPr="00E74904">
        <w:rPr>
          <w:rFonts w:ascii="Calibri" w:hAnsi="Calibri" w:cs="Calibri"/>
          <w:sz w:val="24"/>
          <w:szCs w:val="24"/>
        </w:rPr>
        <w:t xml:space="preserve">While </w:t>
      </w:r>
      <w:proofErr w:type="spellStart"/>
      <w:r w:rsidRPr="00E74904">
        <w:rPr>
          <w:rFonts w:ascii="Calibri" w:hAnsi="Calibri" w:cs="Calibri"/>
          <w:sz w:val="24"/>
          <w:szCs w:val="24"/>
        </w:rPr>
        <w:t>FinTechs</w:t>
      </w:r>
      <w:proofErr w:type="spellEnd"/>
      <w:r w:rsidRPr="00E74904">
        <w:rPr>
          <w:rFonts w:ascii="Calibri" w:hAnsi="Calibri" w:cs="Calibri"/>
          <w:sz w:val="24"/>
          <w:szCs w:val="24"/>
        </w:rPr>
        <w:t xml:space="preserve"> and banks both deal with data-sensitive operations, their governance frameworks differ. Banks are subject to Basel III operational risk frameworks and must report regularly to national supervisors (BCBS, 2019). </w:t>
      </w:r>
      <w:proofErr w:type="spellStart"/>
      <w:r w:rsidRPr="00E74904">
        <w:rPr>
          <w:rFonts w:ascii="Calibri" w:hAnsi="Calibri" w:cs="Calibri"/>
          <w:sz w:val="24"/>
          <w:szCs w:val="24"/>
        </w:rPr>
        <w:t>FinTechs</w:t>
      </w:r>
      <w:proofErr w:type="spellEnd"/>
      <w:r w:rsidRPr="00E74904">
        <w:rPr>
          <w:rFonts w:ascii="Calibri" w:hAnsi="Calibri" w:cs="Calibri"/>
          <w:sz w:val="24"/>
          <w:szCs w:val="24"/>
        </w:rPr>
        <w:t>, by contrast, often fall under lighter-touch regimes, especially if they operate outside of deposit-taking</w:t>
      </w:r>
      <w:r w:rsidR="00E74904" w:rsidRPr="00E74904">
        <w:rPr>
          <w:rFonts w:ascii="Calibri" w:hAnsi="Calibri" w:cs="Calibri"/>
          <w:sz w:val="24"/>
          <w:szCs w:val="24"/>
        </w:rPr>
        <w:t xml:space="preserve"> </w:t>
      </w:r>
      <w:r w:rsidRPr="00E74904">
        <w:rPr>
          <w:rFonts w:ascii="Calibri" w:hAnsi="Calibri" w:cs="Calibri"/>
          <w:sz w:val="24"/>
          <w:szCs w:val="24"/>
        </w:rPr>
        <w:t>functions.</w:t>
      </w:r>
      <w:r w:rsidR="00E74904" w:rsidRPr="00E74904">
        <w:rPr>
          <w:rFonts w:ascii="Calibri" w:hAnsi="Calibri" w:cs="Calibri"/>
          <w:sz w:val="24"/>
          <w:szCs w:val="24"/>
        </w:rPr>
        <w:t xml:space="preserve"> </w:t>
      </w:r>
      <w:proofErr w:type="spellStart"/>
      <w:r w:rsidRPr="00E74904">
        <w:rPr>
          <w:rFonts w:ascii="Calibri" w:hAnsi="Calibri" w:cs="Calibri"/>
          <w:sz w:val="24"/>
          <w:szCs w:val="24"/>
        </w:rPr>
        <w:t>Cornelli</w:t>
      </w:r>
      <w:proofErr w:type="spellEnd"/>
      <w:r w:rsidRPr="00E74904">
        <w:rPr>
          <w:rFonts w:ascii="Calibri" w:hAnsi="Calibri" w:cs="Calibri"/>
          <w:sz w:val="24"/>
          <w:szCs w:val="24"/>
        </w:rPr>
        <w:t xml:space="preserve"> et al. (2020) show that despite FinTech’s potential to disrupt lending, its global credit share remains at just 0.6%, largely due to trust and regulatory concerns. </w:t>
      </w:r>
      <w:proofErr w:type="spellStart"/>
      <w:r w:rsidRPr="00E74904">
        <w:rPr>
          <w:rFonts w:ascii="Calibri" w:hAnsi="Calibri" w:cs="Calibri"/>
          <w:sz w:val="24"/>
          <w:szCs w:val="24"/>
        </w:rPr>
        <w:t>Arner</w:t>
      </w:r>
      <w:proofErr w:type="spellEnd"/>
      <w:r w:rsidRPr="00E74904">
        <w:rPr>
          <w:rFonts w:ascii="Calibri" w:hAnsi="Calibri" w:cs="Calibri"/>
          <w:sz w:val="24"/>
          <w:szCs w:val="24"/>
        </w:rPr>
        <w:t xml:space="preserve"> et al. (2017) propose a “</w:t>
      </w:r>
      <w:proofErr w:type="spellStart"/>
      <w:r w:rsidRPr="00E74904">
        <w:rPr>
          <w:rFonts w:ascii="Calibri" w:hAnsi="Calibri" w:cs="Calibri"/>
          <w:sz w:val="24"/>
          <w:szCs w:val="24"/>
        </w:rPr>
        <w:t>RegTech</w:t>
      </w:r>
      <w:proofErr w:type="spellEnd"/>
      <w:r w:rsidRPr="00E74904">
        <w:rPr>
          <w:rFonts w:ascii="Calibri" w:hAnsi="Calibri" w:cs="Calibri"/>
          <w:sz w:val="24"/>
          <w:szCs w:val="24"/>
        </w:rPr>
        <w:t xml:space="preserve">” model that merges technological innovation with compliance automation, suggesting it could bridge governance gaps in </w:t>
      </w:r>
      <w:proofErr w:type="spellStart"/>
      <w:r w:rsidRPr="00E74904">
        <w:rPr>
          <w:rFonts w:ascii="Calibri" w:hAnsi="Calibri" w:cs="Calibri"/>
          <w:sz w:val="24"/>
          <w:szCs w:val="24"/>
        </w:rPr>
        <w:t>FinTechs</w:t>
      </w:r>
      <w:proofErr w:type="spellEnd"/>
      <w:r w:rsidRPr="00E74904">
        <w:rPr>
          <w:rFonts w:ascii="Calibri" w:hAnsi="Calibri" w:cs="Calibri"/>
          <w:sz w:val="24"/>
          <w:szCs w:val="24"/>
        </w:rPr>
        <w:t xml:space="preserve">. Similarly, </w:t>
      </w:r>
      <w:proofErr w:type="spellStart"/>
      <w:r w:rsidRPr="00E74904">
        <w:rPr>
          <w:rFonts w:ascii="Calibri" w:hAnsi="Calibri" w:cs="Calibri"/>
          <w:sz w:val="24"/>
          <w:szCs w:val="24"/>
        </w:rPr>
        <w:t>Vives</w:t>
      </w:r>
      <w:proofErr w:type="spellEnd"/>
      <w:r w:rsidRPr="00E74904">
        <w:rPr>
          <w:rFonts w:ascii="Calibri" w:hAnsi="Calibri" w:cs="Calibri"/>
          <w:sz w:val="24"/>
          <w:szCs w:val="24"/>
        </w:rPr>
        <w:t xml:space="preserve"> (2019) suggests that cooperation</w:t>
      </w:r>
      <w:r w:rsidR="00833D67" w:rsidRPr="00E74904">
        <w:rPr>
          <w:rFonts w:ascii="Calibri" w:hAnsi="Calibri" w:cs="Calibri"/>
          <w:sz w:val="24"/>
          <w:szCs w:val="24"/>
        </w:rPr>
        <w:t xml:space="preserve"> </w:t>
      </w:r>
      <w:r w:rsidRPr="00E74904">
        <w:rPr>
          <w:rFonts w:ascii="Calibri" w:hAnsi="Calibri" w:cs="Calibri"/>
          <w:sz w:val="24"/>
          <w:szCs w:val="24"/>
        </w:rPr>
        <w:t>rather than competition</w:t>
      </w:r>
      <w:r w:rsidR="00833D67" w:rsidRPr="00E74904">
        <w:rPr>
          <w:rFonts w:ascii="Calibri" w:hAnsi="Calibri" w:cs="Calibri"/>
          <w:sz w:val="24"/>
          <w:szCs w:val="24"/>
        </w:rPr>
        <w:t xml:space="preserve"> </w:t>
      </w:r>
      <w:r w:rsidRPr="00E74904">
        <w:rPr>
          <w:rFonts w:ascii="Calibri" w:hAnsi="Calibri" w:cs="Calibri"/>
          <w:sz w:val="24"/>
          <w:szCs w:val="24"/>
        </w:rPr>
        <w:t xml:space="preserve">between banks and </w:t>
      </w:r>
      <w:proofErr w:type="spellStart"/>
      <w:r w:rsidRPr="00E74904">
        <w:rPr>
          <w:rFonts w:ascii="Calibri" w:hAnsi="Calibri" w:cs="Calibri"/>
          <w:sz w:val="24"/>
          <w:szCs w:val="24"/>
        </w:rPr>
        <w:t>FinTechs</w:t>
      </w:r>
      <w:proofErr w:type="spellEnd"/>
      <w:r w:rsidRPr="00E74904">
        <w:rPr>
          <w:rFonts w:ascii="Calibri" w:hAnsi="Calibri" w:cs="Calibri"/>
          <w:sz w:val="24"/>
          <w:szCs w:val="24"/>
        </w:rPr>
        <w:t xml:space="preserve"> is emerging as a dominant paradigm.</w:t>
      </w:r>
    </w:p>
    <w:p w14:paraId="1A192219" w14:textId="77777777" w:rsidR="00E74904" w:rsidRDefault="00E74904" w:rsidP="0044638E">
      <w:pPr>
        <w:pStyle w:val="NoSpacing"/>
        <w:spacing w:line="360" w:lineRule="auto"/>
        <w:rPr>
          <w:rFonts w:ascii="Calibri" w:hAnsi="Calibri" w:cs="Calibri"/>
          <w:sz w:val="24"/>
          <w:szCs w:val="24"/>
        </w:rPr>
      </w:pPr>
    </w:p>
    <w:p w14:paraId="2B798B79" w14:textId="58C86009" w:rsidR="002C048D" w:rsidRPr="005D7CB1" w:rsidRDefault="002C048D" w:rsidP="0044638E">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t>2.4 Open Banking, APIs, and Data Risk</w:t>
      </w:r>
    </w:p>
    <w:p w14:paraId="21C73544" w14:textId="4B86F3FE"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Open Banking initiatives, particularly in the UK, mandate data sharing between financial institutions and third parties through secure APIs. While this promotes competition and innovation, it also raises concerns about data integrity, consumer consent, and accountability.</w:t>
      </w:r>
      <w:r w:rsidR="00E74904">
        <w:rPr>
          <w:rFonts w:ascii="Calibri" w:hAnsi="Calibri" w:cs="Calibri"/>
          <w:sz w:val="24"/>
          <w:szCs w:val="24"/>
        </w:rPr>
        <w:t xml:space="preserve"> </w:t>
      </w:r>
      <w:r w:rsidRPr="0044638E">
        <w:rPr>
          <w:rFonts w:ascii="Calibri" w:hAnsi="Calibri" w:cs="Calibri"/>
          <w:sz w:val="24"/>
          <w:szCs w:val="24"/>
        </w:rPr>
        <w:t>Chen et al. (2021) argue that while open APIs improve user experience, they also introduce novel vectors for cyber exploitation. The UK Open Banking Implementation Entity (OBIE, 2023) has developed API standards and security guidelines, but implementation remains uneven across firms. The FCA (2022) has emphasised the importance of standardised consent management and revocation mechanisms, especially in light of GDPR.</w:t>
      </w:r>
    </w:p>
    <w:p w14:paraId="2CFCD624" w14:textId="77777777" w:rsidR="00452C5F" w:rsidRPr="0044638E" w:rsidRDefault="00452C5F" w:rsidP="0044638E">
      <w:pPr>
        <w:pStyle w:val="NoSpacing"/>
        <w:spacing w:line="360" w:lineRule="auto"/>
        <w:rPr>
          <w:rFonts w:ascii="Calibri" w:hAnsi="Calibri" w:cs="Calibri"/>
          <w:sz w:val="24"/>
          <w:szCs w:val="24"/>
        </w:rPr>
      </w:pPr>
    </w:p>
    <w:p w14:paraId="72533AC1" w14:textId="7AAFE53D" w:rsidR="002C048D" w:rsidRPr="005D7CB1" w:rsidRDefault="002C048D" w:rsidP="0044638E">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t>2.5 AI, Data Ethics, and Regulatory Oversight</w:t>
      </w:r>
    </w:p>
    <w:p w14:paraId="2E18D4A7" w14:textId="7D8EC4DE"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 xml:space="preserve">FinTech lenders increasingly use AI and machine learning for credit scoring, fraud detection, and personalised recommendations. While efficient, these tools also present governance challenges related to </w:t>
      </w:r>
      <w:proofErr w:type="spellStart"/>
      <w:r w:rsidRPr="0044638E">
        <w:rPr>
          <w:rFonts w:ascii="Calibri" w:hAnsi="Calibri" w:cs="Calibri"/>
          <w:sz w:val="24"/>
          <w:szCs w:val="24"/>
        </w:rPr>
        <w:t>explainability</w:t>
      </w:r>
      <w:proofErr w:type="spellEnd"/>
      <w:r w:rsidRPr="0044638E">
        <w:rPr>
          <w:rFonts w:ascii="Calibri" w:hAnsi="Calibri" w:cs="Calibri"/>
          <w:sz w:val="24"/>
          <w:szCs w:val="24"/>
        </w:rPr>
        <w:t>, bias, and accountability.</w:t>
      </w:r>
      <w:r w:rsidR="00E74904">
        <w:rPr>
          <w:rFonts w:ascii="Calibri" w:hAnsi="Calibri" w:cs="Calibri"/>
          <w:sz w:val="24"/>
          <w:szCs w:val="24"/>
        </w:rPr>
        <w:t xml:space="preserve"> </w:t>
      </w:r>
      <w:r w:rsidRPr="0044638E">
        <w:rPr>
          <w:rFonts w:ascii="Calibri" w:hAnsi="Calibri" w:cs="Calibri"/>
          <w:sz w:val="24"/>
          <w:szCs w:val="24"/>
        </w:rPr>
        <w:t xml:space="preserve">Goodman and Flaxman (2017) highlight the “black-box” problem in machine learning, warning that lack of transparency may violate GDPR’s “right to explanation.” The UK Centre for Data </w:t>
      </w:r>
      <w:r w:rsidRPr="0044638E">
        <w:rPr>
          <w:rFonts w:ascii="Calibri" w:hAnsi="Calibri" w:cs="Calibri"/>
          <w:sz w:val="24"/>
          <w:szCs w:val="24"/>
        </w:rPr>
        <w:lastRenderedPageBreak/>
        <w:t>Ethics and Innovation (CDEI, 2022) has called for stronger oversight mechanisms, especially in financial services. In response, the FCA (2023) has introduced guidelines for AI governance, encouraging firms to establish internal data ethics boards.</w:t>
      </w:r>
    </w:p>
    <w:p w14:paraId="6B1DB888" w14:textId="77777777" w:rsidR="00452C5F" w:rsidRPr="0044638E" w:rsidRDefault="00452C5F" w:rsidP="0044638E">
      <w:pPr>
        <w:pStyle w:val="NoSpacing"/>
        <w:spacing w:line="360" w:lineRule="auto"/>
        <w:rPr>
          <w:rFonts w:ascii="Calibri" w:hAnsi="Calibri" w:cs="Calibri"/>
          <w:sz w:val="24"/>
          <w:szCs w:val="24"/>
        </w:rPr>
      </w:pPr>
    </w:p>
    <w:p w14:paraId="09A2DFB7" w14:textId="6E3D291F" w:rsidR="002C048D" w:rsidRPr="005D7CB1" w:rsidRDefault="002C048D" w:rsidP="0044638E">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t>2.6 Comparative Case Evidence</w:t>
      </w:r>
    </w:p>
    <w:p w14:paraId="1ED177F2" w14:textId="113EF09A" w:rsidR="002C048D" w:rsidRPr="0044638E" w:rsidRDefault="002C048D" w:rsidP="005D7CB1">
      <w:pPr>
        <w:pStyle w:val="NoSpacing"/>
        <w:spacing w:line="360" w:lineRule="auto"/>
        <w:jc w:val="both"/>
        <w:rPr>
          <w:rFonts w:ascii="Calibri" w:hAnsi="Calibri" w:cs="Calibri"/>
          <w:sz w:val="24"/>
          <w:szCs w:val="24"/>
        </w:rPr>
      </w:pPr>
      <w:r w:rsidRPr="0044638E">
        <w:rPr>
          <w:rFonts w:ascii="Calibri" w:hAnsi="Calibri" w:cs="Calibri"/>
          <w:sz w:val="24"/>
          <w:szCs w:val="24"/>
        </w:rPr>
        <w:t xml:space="preserve">Studies of </w:t>
      </w:r>
      <w:proofErr w:type="spellStart"/>
      <w:r w:rsidRPr="0044638E">
        <w:rPr>
          <w:rFonts w:ascii="Calibri" w:hAnsi="Calibri" w:cs="Calibri"/>
          <w:sz w:val="24"/>
          <w:szCs w:val="24"/>
        </w:rPr>
        <w:t>neobanks</w:t>
      </w:r>
      <w:proofErr w:type="spellEnd"/>
      <w:r w:rsidRPr="0044638E">
        <w:rPr>
          <w:rFonts w:ascii="Calibri" w:hAnsi="Calibri" w:cs="Calibri"/>
          <w:sz w:val="24"/>
          <w:szCs w:val="24"/>
        </w:rPr>
        <w:t xml:space="preserve"> like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and Starling show both promise and pitfalls. </w:t>
      </w:r>
      <w:proofErr w:type="spellStart"/>
      <w:r w:rsidRPr="0044638E">
        <w:rPr>
          <w:rFonts w:ascii="Calibri" w:hAnsi="Calibri" w:cs="Calibri"/>
          <w:sz w:val="24"/>
          <w:szCs w:val="24"/>
        </w:rPr>
        <w:t>Monzo’s</w:t>
      </w:r>
      <w:proofErr w:type="spellEnd"/>
      <w:r w:rsidRPr="0044638E">
        <w:rPr>
          <w:rFonts w:ascii="Calibri" w:hAnsi="Calibri" w:cs="Calibri"/>
          <w:sz w:val="24"/>
          <w:szCs w:val="24"/>
        </w:rPr>
        <w:t xml:space="preserve"> 2019 transparency initiative around data breaches earned consumer trust, while </w:t>
      </w:r>
      <w:proofErr w:type="spellStart"/>
      <w:r w:rsidRPr="0044638E">
        <w:rPr>
          <w:rFonts w:ascii="Calibri" w:hAnsi="Calibri" w:cs="Calibri"/>
          <w:sz w:val="24"/>
          <w:szCs w:val="24"/>
        </w:rPr>
        <w:t>Revolut’s</w:t>
      </w:r>
      <w:proofErr w:type="spellEnd"/>
      <w:r w:rsidRPr="0044638E">
        <w:rPr>
          <w:rFonts w:ascii="Calibri" w:hAnsi="Calibri" w:cs="Calibri"/>
          <w:sz w:val="24"/>
          <w:szCs w:val="24"/>
        </w:rPr>
        <w:t xml:space="preserve"> delayed response to a 2022 incident was widely criticised. Starling Bank has adopted ISO 27001 standards and invested in internal training to maintain compliance.</w:t>
      </w:r>
      <w:r w:rsidR="00E74904">
        <w:rPr>
          <w:rFonts w:ascii="Calibri" w:hAnsi="Calibri" w:cs="Calibri"/>
          <w:sz w:val="24"/>
          <w:szCs w:val="24"/>
        </w:rPr>
        <w:t xml:space="preserve"> </w:t>
      </w:r>
      <w:proofErr w:type="spellStart"/>
      <w:r w:rsidRPr="0044638E">
        <w:rPr>
          <w:rFonts w:ascii="Calibri" w:hAnsi="Calibri" w:cs="Calibri"/>
          <w:sz w:val="24"/>
          <w:szCs w:val="24"/>
        </w:rPr>
        <w:t>Zopa</w:t>
      </w:r>
      <w:proofErr w:type="spellEnd"/>
      <w:r w:rsidRPr="0044638E">
        <w:rPr>
          <w:rFonts w:ascii="Calibri" w:hAnsi="Calibri" w:cs="Calibri"/>
          <w:sz w:val="24"/>
          <w:szCs w:val="24"/>
        </w:rPr>
        <w:t>, one of the first P2P lenders in the UK, transitioned to a full banking licence in 2020, partly to align with stringent data governance requirements. This shift suggests that regulatory parity may encourage stronger governance without stifling innovation.</w:t>
      </w:r>
    </w:p>
    <w:p w14:paraId="780C367C" w14:textId="77777777" w:rsidR="0044638E" w:rsidRPr="0044638E" w:rsidRDefault="0044638E" w:rsidP="0044638E">
      <w:pPr>
        <w:pStyle w:val="NoSpacing"/>
        <w:spacing w:line="360" w:lineRule="auto"/>
        <w:rPr>
          <w:rFonts w:ascii="Calibri" w:hAnsi="Calibri" w:cs="Calibri"/>
          <w:sz w:val="24"/>
          <w:szCs w:val="24"/>
        </w:rPr>
      </w:pPr>
    </w:p>
    <w:p w14:paraId="64F33529" w14:textId="07931834" w:rsidR="002C048D" w:rsidRPr="005D7CB1" w:rsidRDefault="002C048D" w:rsidP="0044638E">
      <w:pPr>
        <w:pStyle w:val="NoSpacing"/>
        <w:spacing w:line="360" w:lineRule="auto"/>
        <w:rPr>
          <w:rFonts w:ascii="Calibri" w:hAnsi="Calibri" w:cs="Calibri"/>
          <w:color w:val="1F497D" w:themeColor="text2"/>
          <w:sz w:val="24"/>
          <w:szCs w:val="24"/>
        </w:rPr>
      </w:pPr>
      <w:r w:rsidRPr="005D7CB1">
        <w:rPr>
          <w:rFonts w:ascii="Calibri" w:hAnsi="Calibri" w:cs="Calibri"/>
          <w:color w:val="1F497D" w:themeColor="text2"/>
          <w:sz w:val="24"/>
          <w:szCs w:val="24"/>
        </w:rPr>
        <w:t>2.7 Summary and Gaps</w:t>
      </w:r>
    </w:p>
    <w:p w14:paraId="21C43F59" w14:textId="134D8EBE"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The literature reveals that while awareness of data governance and security risks is growing, implementation remains inconsistent across FinTech lenders. There is limited empirical work examining how these firms operationalise data governance, what frameworks they adopt, and how their practices compare with traditional banks. Moreover, few studies explore the impact of governance maturity on customer</w:t>
      </w:r>
      <w:r w:rsidR="00E74904">
        <w:rPr>
          <w:rFonts w:ascii="Calibri" w:hAnsi="Calibri" w:cs="Calibri"/>
          <w:sz w:val="24"/>
          <w:szCs w:val="24"/>
        </w:rPr>
        <w:t xml:space="preserve"> </w:t>
      </w:r>
      <w:r w:rsidRPr="0044638E">
        <w:rPr>
          <w:rFonts w:ascii="Calibri" w:hAnsi="Calibri" w:cs="Calibri"/>
          <w:sz w:val="24"/>
          <w:szCs w:val="24"/>
        </w:rPr>
        <w:t>retention, trust, and regulatory outcomes.</w:t>
      </w:r>
      <w:r w:rsidR="00E74904">
        <w:rPr>
          <w:rFonts w:ascii="Calibri" w:hAnsi="Calibri" w:cs="Calibri"/>
          <w:sz w:val="24"/>
          <w:szCs w:val="24"/>
        </w:rPr>
        <w:t xml:space="preserve"> </w:t>
      </w:r>
      <w:r w:rsidRPr="0044638E">
        <w:rPr>
          <w:rFonts w:ascii="Calibri" w:hAnsi="Calibri" w:cs="Calibri"/>
          <w:sz w:val="24"/>
          <w:szCs w:val="24"/>
        </w:rPr>
        <w:t>This research seeks to address these gaps by providing a comparative, multi-case analysis of data governance and security strategies among leading UK FinTech lenders, drawing both academic and policy-relevant conclusions.</w:t>
      </w:r>
    </w:p>
    <w:p w14:paraId="00BEEF0F" w14:textId="2169BAA2" w:rsidR="002C048D" w:rsidRPr="0044638E" w:rsidRDefault="002C048D" w:rsidP="0044638E">
      <w:pPr>
        <w:pStyle w:val="NoSpacing"/>
        <w:spacing w:line="360" w:lineRule="auto"/>
        <w:rPr>
          <w:rFonts w:ascii="Calibri" w:hAnsi="Calibri" w:cs="Calibri"/>
          <w:sz w:val="24"/>
          <w:szCs w:val="24"/>
        </w:rPr>
      </w:pPr>
    </w:p>
    <w:p w14:paraId="37E5CEFE"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3. Motivation, Research Gap, and Hypotheses</w:t>
      </w:r>
    </w:p>
    <w:p w14:paraId="0642B720"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3.1 Motivation</w:t>
      </w:r>
    </w:p>
    <w:p w14:paraId="2BC8551C" w14:textId="46DF12A4" w:rsidR="002C048D"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 xml:space="preserve">The motivation for this research stems from the growing dependency of FinTech lenders on real-time, sensitive data flows and the comparative immaturity of their governance frameworks. While traditional banks have developed extensive data oversight structures </w:t>
      </w:r>
      <w:r w:rsidRPr="0044638E">
        <w:rPr>
          <w:rFonts w:ascii="Calibri" w:hAnsi="Calibri" w:cs="Calibri"/>
          <w:sz w:val="24"/>
          <w:szCs w:val="24"/>
        </w:rPr>
        <w:lastRenderedPageBreak/>
        <w:t>under strict regulation, many FinTech lenders are relatively new, agile, and technologically forward</w:t>
      </w:r>
      <w:r w:rsidR="00E74904">
        <w:rPr>
          <w:rFonts w:ascii="Calibri" w:hAnsi="Calibri" w:cs="Calibri"/>
          <w:sz w:val="24"/>
          <w:szCs w:val="24"/>
        </w:rPr>
        <w:t xml:space="preserve"> </w:t>
      </w:r>
      <w:r w:rsidRPr="0044638E">
        <w:rPr>
          <w:rFonts w:ascii="Calibri" w:hAnsi="Calibri" w:cs="Calibri"/>
          <w:sz w:val="24"/>
          <w:szCs w:val="24"/>
        </w:rPr>
        <w:t>but often lack rigorous governance systems.</w:t>
      </w:r>
      <w:r w:rsidR="00E74904">
        <w:rPr>
          <w:rFonts w:ascii="Calibri" w:hAnsi="Calibri" w:cs="Calibri"/>
          <w:sz w:val="24"/>
          <w:szCs w:val="24"/>
        </w:rPr>
        <w:t xml:space="preserve"> </w:t>
      </w:r>
      <w:r w:rsidRPr="0044638E">
        <w:rPr>
          <w:rFonts w:ascii="Calibri" w:hAnsi="Calibri" w:cs="Calibri"/>
          <w:sz w:val="24"/>
          <w:szCs w:val="24"/>
        </w:rPr>
        <w:t>This presents a critical paradox: FinTech lenders are gaining market share and consumer trust through technological sophistication and convenience, yet their approaches to data protection are frequently reactive, inconsistent, or incomplete. As cyber threats increase in scale and sophistication, and as consumer and regulator expectations rise, the cost of governance failures grows exponentially.</w:t>
      </w:r>
      <w:r w:rsidR="00E74904">
        <w:rPr>
          <w:rFonts w:ascii="Calibri" w:hAnsi="Calibri" w:cs="Calibri"/>
          <w:sz w:val="24"/>
          <w:szCs w:val="24"/>
        </w:rPr>
        <w:t xml:space="preserve"> </w:t>
      </w:r>
      <w:r w:rsidRPr="0044638E">
        <w:rPr>
          <w:rFonts w:ascii="Calibri" w:hAnsi="Calibri" w:cs="Calibri"/>
          <w:sz w:val="24"/>
          <w:szCs w:val="24"/>
        </w:rPr>
        <w:t>The FinTech industry now sits at a crossroads</w:t>
      </w:r>
      <w:r w:rsidR="00E74904">
        <w:rPr>
          <w:rFonts w:ascii="Calibri" w:hAnsi="Calibri" w:cs="Calibri"/>
          <w:sz w:val="24"/>
          <w:szCs w:val="24"/>
        </w:rPr>
        <w:t xml:space="preserve"> </w:t>
      </w:r>
      <w:r w:rsidRPr="0044638E">
        <w:rPr>
          <w:rFonts w:ascii="Calibri" w:hAnsi="Calibri" w:cs="Calibri"/>
          <w:sz w:val="24"/>
          <w:szCs w:val="24"/>
        </w:rPr>
        <w:t>between rapid innovation and the need for trust and compliance. This tension offers a compelling research opportunit</w:t>
      </w:r>
      <w:r w:rsidR="00E74904">
        <w:rPr>
          <w:rFonts w:ascii="Calibri" w:hAnsi="Calibri" w:cs="Calibri"/>
          <w:sz w:val="24"/>
          <w:szCs w:val="24"/>
        </w:rPr>
        <w:t>y</w:t>
      </w:r>
      <w:r w:rsidRPr="0044638E">
        <w:rPr>
          <w:rFonts w:ascii="Calibri" w:hAnsi="Calibri" w:cs="Calibri"/>
          <w:sz w:val="24"/>
          <w:szCs w:val="24"/>
        </w:rPr>
        <w:t xml:space="preserve"> can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establish governance structures as robust as those of banks without sacrificing speed, scalability, and innovation?</w:t>
      </w:r>
    </w:p>
    <w:p w14:paraId="76DB001B" w14:textId="77777777" w:rsidR="00E74904" w:rsidRPr="0044638E" w:rsidRDefault="00E74904" w:rsidP="00E74904">
      <w:pPr>
        <w:pStyle w:val="NoSpacing"/>
        <w:spacing w:line="360" w:lineRule="auto"/>
        <w:jc w:val="both"/>
        <w:rPr>
          <w:rFonts w:ascii="Calibri" w:hAnsi="Calibri" w:cs="Calibri"/>
          <w:sz w:val="24"/>
          <w:szCs w:val="24"/>
        </w:rPr>
      </w:pPr>
    </w:p>
    <w:p w14:paraId="3F75CC1E"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3.2 Research Gap</w:t>
      </w:r>
    </w:p>
    <w:p w14:paraId="02E4453B" w14:textId="7827CA59"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Most academic literature on FinTech has focused on innovation, business models, and customer behaviour. While data protection and cybersecurity are increasingly discussed, few studies concentrate on governance frameworks and their comparative development across different types of financial institutions.</w:t>
      </w:r>
      <w:r w:rsidR="00E74904">
        <w:rPr>
          <w:rFonts w:ascii="Calibri" w:hAnsi="Calibri" w:cs="Calibri"/>
          <w:sz w:val="24"/>
          <w:szCs w:val="24"/>
        </w:rPr>
        <w:t xml:space="preserve"> </w:t>
      </w:r>
      <w:r w:rsidRPr="0044638E">
        <w:rPr>
          <w:rFonts w:ascii="Calibri" w:hAnsi="Calibri" w:cs="Calibri"/>
          <w:sz w:val="24"/>
          <w:szCs w:val="24"/>
        </w:rPr>
        <w:t xml:space="preserve">Furthermore, existing empirical work often </w:t>
      </w:r>
      <w:proofErr w:type="spellStart"/>
      <w:r w:rsidRPr="0044638E">
        <w:rPr>
          <w:rFonts w:ascii="Calibri" w:hAnsi="Calibri" w:cs="Calibri"/>
          <w:sz w:val="24"/>
          <w:szCs w:val="24"/>
        </w:rPr>
        <w:t>generalises</w:t>
      </w:r>
      <w:proofErr w:type="spellEnd"/>
      <w:r w:rsidRPr="0044638E">
        <w:rPr>
          <w:rFonts w:ascii="Calibri" w:hAnsi="Calibri" w:cs="Calibri"/>
          <w:sz w:val="24"/>
          <w:szCs w:val="24"/>
        </w:rPr>
        <w:t xml:space="preserve">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rather than examining distinct categories like platform lenders and </w:t>
      </w:r>
      <w:proofErr w:type="spellStart"/>
      <w:r w:rsidRPr="0044638E">
        <w:rPr>
          <w:rFonts w:ascii="Calibri" w:hAnsi="Calibri" w:cs="Calibri"/>
          <w:sz w:val="24"/>
          <w:szCs w:val="24"/>
        </w:rPr>
        <w:t>neobanks</w:t>
      </w:r>
      <w:proofErr w:type="spellEnd"/>
      <w:r w:rsidRPr="0044638E">
        <w:rPr>
          <w:rFonts w:ascii="Calibri" w:hAnsi="Calibri" w:cs="Calibri"/>
          <w:sz w:val="24"/>
          <w:szCs w:val="24"/>
        </w:rPr>
        <w:t>. There is a notable lack of comparative case studies between FinTech lenders and incumbent banks in terms of how they manage data access, security incidents, regulatory reporting, and data ethics. Additionally, limited research addresses how these practices affect customer trust and organisational resilience over time.</w:t>
      </w:r>
    </w:p>
    <w:p w14:paraId="0A40ABA6"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This project fills these gaps by:</w:t>
      </w:r>
    </w:p>
    <w:p w14:paraId="6E05B028" w14:textId="77777777" w:rsidR="002C048D" w:rsidRPr="0044638E" w:rsidRDefault="002C048D" w:rsidP="00E74904">
      <w:pPr>
        <w:pStyle w:val="NoSpacing"/>
        <w:numPr>
          <w:ilvl w:val="0"/>
          <w:numId w:val="35"/>
        </w:numPr>
        <w:spacing w:line="360" w:lineRule="auto"/>
        <w:rPr>
          <w:rFonts w:ascii="Calibri" w:hAnsi="Calibri" w:cs="Calibri"/>
          <w:sz w:val="24"/>
          <w:szCs w:val="24"/>
        </w:rPr>
      </w:pPr>
      <w:r w:rsidRPr="0044638E">
        <w:rPr>
          <w:rFonts w:ascii="Calibri" w:hAnsi="Calibri" w:cs="Calibri"/>
          <w:sz w:val="24"/>
          <w:szCs w:val="24"/>
        </w:rPr>
        <w:t>Providing a comparative multi-case analysis of UK-based FinTech lenders and traditional banks.</w:t>
      </w:r>
    </w:p>
    <w:p w14:paraId="6B43EFD9" w14:textId="77777777" w:rsidR="002C048D" w:rsidRPr="0044638E" w:rsidRDefault="002C048D" w:rsidP="00E74904">
      <w:pPr>
        <w:pStyle w:val="NoSpacing"/>
        <w:numPr>
          <w:ilvl w:val="0"/>
          <w:numId w:val="35"/>
        </w:numPr>
        <w:spacing w:line="360" w:lineRule="auto"/>
        <w:rPr>
          <w:rFonts w:ascii="Calibri" w:hAnsi="Calibri" w:cs="Calibri"/>
          <w:sz w:val="24"/>
          <w:szCs w:val="24"/>
        </w:rPr>
      </w:pPr>
      <w:r w:rsidRPr="0044638E">
        <w:rPr>
          <w:rFonts w:ascii="Calibri" w:hAnsi="Calibri" w:cs="Calibri"/>
          <w:sz w:val="24"/>
          <w:szCs w:val="24"/>
        </w:rPr>
        <w:t>Evaluating the influence of governance practices on consumer trust and regulatory outcomes.</w:t>
      </w:r>
    </w:p>
    <w:p w14:paraId="2855362B" w14:textId="77777777" w:rsidR="002C048D" w:rsidRPr="0044638E" w:rsidRDefault="002C048D" w:rsidP="00E74904">
      <w:pPr>
        <w:pStyle w:val="NoSpacing"/>
        <w:numPr>
          <w:ilvl w:val="0"/>
          <w:numId w:val="35"/>
        </w:numPr>
        <w:spacing w:line="360" w:lineRule="auto"/>
        <w:rPr>
          <w:rFonts w:ascii="Calibri" w:hAnsi="Calibri" w:cs="Calibri"/>
          <w:sz w:val="24"/>
          <w:szCs w:val="24"/>
        </w:rPr>
      </w:pPr>
      <w:r w:rsidRPr="0044638E">
        <w:rPr>
          <w:rFonts w:ascii="Calibri" w:hAnsi="Calibri" w:cs="Calibri"/>
          <w:sz w:val="24"/>
          <w:szCs w:val="24"/>
        </w:rPr>
        <w:t>Integrating international best practices (e.g., ISO 27001, NIST) into the analysis framework.</w:t>
      </w:r>
    </w:p>
    <w:p w14:paraId="680BDD78"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lastRenderedPageBreak/>
        <w:t>3.3 Research Questions</w:t>
      </w:r>
    </w:p>
    <w:p w14:paraId="2A3C3A3C" w14:textId="77777777" w:rsidR="002C048D" w:rsidRPr="0044638E" w:rsidRDefault="002C048D" w:rsidP="00E74904">
      <w:pPr>
        <w:pStyle w:val="NoSpacing"/>
        <w:numPr>
          <w:ilvl w:val="0"/>
          <w:numId w:val="36"/>
        </w:numPr>
        <w:spacing w:line="360" w:lineRule="auto"/>
        <w:rPr>
          <w:rFonts w:ascii="Calibri" w:hAnsi="Calibri" w:cs="Calibri"/>
          <w:sz w:val="24"/>
          <w:szCs w:val="24"/>
        </w:rPr>
      </w:pPr>
      <w:r w:rsidRPr="0044638E">
        <w:rPr>
          <w:rFonts w:ascii="Calibri" w:hAnsi="Calibri" w:cs="Calibri"/>
          <w:sz w:val="24"/>
          <w:szCs w:val="24"/>
        </w:rPr>
        <w:t xml:space="preserve">What </w:t>
      </w:r>
      <w:proofErr w:type="gramStart"/>
      <w:r w:rsidRPr="0044638E">
        <w:rPr>
          <w:rFonts w:ascii="Calibri" w:hAnsi="Calibri" w:cs="Calibri"/>
          <w:sz w:val="24"/>
          <w:szCs w:val="24"/>
        </w:rPr>
        <w:t>are</w:t>
      </w:r>
      <w:proofErr w:type="gramEnd"/>
      <w:r w:rsidRPr="0044638E">
        <w:rPr>
          <w:rFonts w:ascii="Calibri" w:hAnsi="Calibri" w:cs="Calibri"/>
          <w:sz w:val="24"/>
          <w:szCs w:val="24"/>
        </w:rPr>
        <w:t xml:space="preserve"> the primary data governance and cybersecurity challenges confronting FinTech lenders in the UK?</w:t>
      </w:r>
    </w:p>
    <w:p w14:paraId="6392CA04" w14:textId="77777777" w:rsidR="002C048D" w:rsidRPr="0044638E" w:rsidRDefault="002C048D" w:rsidP="00E74904">
      <w:pPr>
        <w:pStyle w:val="NoSpacing"/>
        <w:numPr>
          <w:ilvl w:val="0"/>
          <w:numId w:val="36"/>
        </w:numPr>
        <w:spacing w:line="360" w:lineRule="auto"/>
        <w:rPr>
          <w:rFonts w:ascii="Calibri" w:hAnsi="Calibri" w:cs="Calibri"/>
          <w:sz w:val="24"/>
          <w:szCs w:val="24"/>
        </w:rPr>
      </w:pPr>
      <w:r w:rsidRPr="0044638E">
        <w:rPr>
          <w:rFonts w:ascii="Calibri" w:hAnsi="Calibri" w:cs="Calibri"/>
          <w:sz w:val="24"/>
          <w:szCs w:val="24"/>
        </w:rPr>
        <w:t>How do the governance frameworks of FinTech lenders compare with those of traditional banks?</w:t>
      </w:r>
    </w:p>
    <w:p w14:paraId="115CDA77" w14:textId="5AAF6228" w:rsidR="002C048D" w:rsidRDefault="002C048D" w:rsidP="00E74904">
      <w:pPr>
        <w:pStyle w:val="NoSpacing"/>
        <w:numPr>
          <w:ilvl w:val="0"/>
          <w:numId w:val="36"/>
        </w:numPr>
        <w:spacing w:line="360" w:lineRule="auto"/>
        <w:rPr>
          <w:rFonts w:ascii="Calibri" w:hAnsi="Calibri" w:cs="Calibri"/>
          <w:sz w:val="24"/>
          <w:szCs w:val="24"/>
        </w:rPr>
      </w:pPr>
      <w:r w:rsidRPr="0044638E">
        <w:rPr>
          <w:rFonts w:ascii="Calibri" w:hAnsi="Calibri" w:cs="Calibri"/>
          <w:sz w:val="24"/>
          <w:szCs w:val="24"/>
        </w:rPr>
        <w:t>How do data governance maturity and cybersecurity readiness impact customer trust and regulatory engagement?</w:t>
      </w:r>
    </w:p>
    <w:p w14:paraId="15557A04" w14:textId="77777777" w:rsidR="00E74904" w:rsidRPr="0044638E" w:rsidRDefault="00E74904" w:rsidP="00E74904">
      <w:pPr>
        <w:pStyle w:val="NoSpacing"/>
        <w:spacing w:line="360" w:lineRule="auto"/>
        <w:ind w:left="360"/>
        <w:rPr>
          <w:rFonts w:ascii="Calibri" w:hAnsi="Calibri" w:cs="Calibri"/>
          <w:sz w:val="24"/>
          <w:szCs w:val="24"/>
        </w:rPr>
      </w:pPr>
    </w:p>
    <w:p w14:paraId="3235C6FF"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3.4 Hypotheses</w:t>
      </w:r>
    </w:p>
    <w:p w14:paraId="541FEE37" w14:textId="77777777" w:rsidR="002C048D" w:rsidRPr="0044638E" w:rsidRDefault="002C048D" w:rsidP="00E74904">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H1:</w:t>
      </w:r>
      <w:r w:rsidRPr="0044638E">
        <w:rPr>
          <w:rFonts w:ascii="Calibri" w:hAnsi="Calibri" w:cs="Calibri"/>
          <w:sz w:val="24"/>
          <w:szCs w:val="24"/>
        </w:rPr>
        <w:t xml:space="preserve"> FinTech lenders face greater exposure to cybersecurity risks than traditional banks due to reliance on third-party vendors and fragmented data ecosystems.</w:t>
      </w:r>
    </w:p>
    <w:p w14:paraId="68029C0E" w14:textId="77777777" w:rsidR="002C048D" w:rsidRPr="0044638E" w:rsidRDefault="002C048D" w:rsidP="00E74904">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H2:</w:t>
      </w:r>
      <w:r w:rsidRPr="0044638E">
        <w:rPr>
          <w:rFonts w:ascii="Calibri" w:hAnsi="Calibri" w:cs="Calibri"/>
          <w:sz w:val="24"/>
          <w:szCs w:val="24"/>
        </w:rPr>
        <w:t xml:space="preserve"> FinTech lenders that align with established governance frameworks (e.g., ISO 27001, FCA’s SYSC guidelines) exhibit greater customer retention and fewer regulatory breaches.</w:t>
      </w:r>
    </w:p>
    <w:p w14:paraId="4729AA64" w14:textId="57B7F347" w:rsidR="002C048D" w:rsidRPr="0044638E" w:rsidRDefault="002C048D" w:rsidP="00E74904">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H</w:t>
      </w:r>
      <w:proofErr w:type="gramStart"/>
      <w:r w:rsidRPr="0044638E">
        <w:rPr>
          <w:rStyle w:val="Strong"/>
          <w:rFonts w:ascii="Calibri" w:hAnsi="Calibri" w:cs="Calibri"/>
          <w:sz w:val="24"/>
          <w:szCs w:val="24"/>
        </w:rPr>
        <w:t>3:</w:t>
      </w:r>
      <w:r w:rsidRPr="0044638E">
        <w:rPr>
          <w:rFonts w:ascii="Calibri" w:hAnsi="Calibri" w:cs="Calibri"/>
          <w:sz w:val="24"/>
          <w:szCs w:val="24"/>
        </w:rPr>
        <w:t>A</w:t>
      </w:r>
      <w:proofErr w:type="gramEnd"/>
      <w:r w:rsidRPr="0044638E">
        <w:rPr>
          <w:rFonts w:ascii="Calibri" w:hAnsi="Calibri" w:cs="Calibri"/>
          <w:sz w:val="24"/>
          <w:szCs w:val="24"/>
        </w:rPr>
        <w:t xml:space="preserve"> strong correlation exists between data governance maturity and positive reputational outcomes in FinTech firms.</w:t>
      </w:r>
    </w:p>
    <w:p w14:paraId="0BBF973B" w14:textId="11C5436A"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These hypotheses will guide the empirical component of the study, particularly the case analyses. Each hypothesis is rooted in the conceptual tension between innovation and compliance, agility and stability</w:t>
      </w:r>
      <w:r w:rsidR="00E74904">
        <w:rPr>
          <w:rFonts w:ascii="Calibri" w:hAnsi="Calibri" w:cs="Calibri"/>
          <w:sz w:val="24"/>
          <w:szCs w:val="24"/>
        </w:rPr>
        <w:t xml:space="preserve"> </w:t>
      </w:r>
      <w:r w:rsidRPr="0044638E">
        <w:rPr>
          <w:rFonts w:ascii="Calibri" w:hAnsi="Calibri" w:cs="Calibri"/>
          <w:sz w:val="24"/>
          <w:szCs w:val="24"/>
        </w:rPr>
        <w:t>key trade-offs shaping the future of financial technology.</w:t>
      </w:r>
      <w:r w:rsidR="00E74904">
        <w:rPr>
          <w:rFonts w:ascii="Calibri" w:hAnsi="Calibri" w:cs="Calibri"/>
          <w:sz w:val="24"/>
          <w:szCs w:val="24"/>
        </w:rPr>
        <w:t xml:space="preserve"> </w:t>
      </w:r>
      <w:r w:rsidRPr="0044638E">
        <w:rPr>
          <w:rFonts w:ascii="Calibri" w:hAnsi="Calibri" w:cs="Calibri"/>
          <w:sz w:val="24"/>
          <w:szCs w:val="24"/>
        </w:rPr>
        <w:t>This section lays the foundation for evaluating whether data governance and cybersecurity in FinTech lenders can evolve to meet the demands of a more complex, risk-sensitive digital economy.</w:t>
      </w:r>
    </w:p>
    <w:p w14:paraId="50196D40" w14:textId="0AE7A424" w:rsidR="002C048D" w:rsidRPr="0044638E" w:rsidRDefault="002C048D" w:rsidP="00E74904">
      <w:pPr>
        <w:pStyle w:val="NoSpacing"/>
        <w:spacing w:line="360" w:lineRule="auto"/>
        <w:jc w:val="both"/>
        <w:rPr>
          <w:rFonts w:ascii="Calibri" w:hAnsi="Calibri" w:cs="Calibri"/>
          <w:sz w:val="24"/>
          <w:szCs w:val="24"/>
        </w:rPr>
      </w:pPr>
    </w:p>
    <w:p w14:paraId="7A8120A4"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4. Methodology and Data</w:t>
      </w:r>
    </w:p>
    <w:p w14:paraId="46CE1F1A"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4.1 Research Design</w:t>
      </w:r>
    </w:p>
    <w:p w14:paraId="6C8BF518" w14:textId="77777777"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This study adopts a mixed-methods approach that integrates qualitative and quantitative research techniques. The primary strategy involves comparative case study analysis of UK-based FinTech lenders and traditional banks, enriched by quantitative insights from security incident data, audit reports, and user trust metrics.</w:t>
      </w:r>
    </w:p>
    <w:p w14:paraId="504692F4" w14:textId="46FCC65B" w:rsidR="002C048D"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lastRenderedPageBreak/>
        <w:t>The comparative nature of this research allows for the assessment of how different organisations manage data risks within varying institutional and regulatory contexts. This multi-case design enables triangulation of findings, adding rigour and reliability to conclusions. The study will also examine firms' adherence to data governance frameworks such as ISO/IEC 27001, the NIST Cybersecurity Framework, and FCA’s SYSC Handbook.</w:t>
      </w:r>
    </w:p>
    <w:p w14:paraId="6A52698C" w14:textId="77777777" w:rsidR="00E74904" w:rsidRPr="0044638E" w:rsidRDefault="00E74904" w:rsidP="0044638E">
      <w:pPr>
        <w:pStyle w:val="NoSpacing"/>
        <w:spacing w:line="360" w:lineRule="auto"/>
        <w:rPr>
          <w:rFonts w:ascii="Calibri" w:hAnsi="Calibri" w:cs="Calibri"/>
          <w:sz w:val="24"/>
          <w:szCs w:val="24"/>
        </w:rPr>
      </w:pPr>
    </w:p>
    <w:p w14:paraId="3E807095"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4.2 Case Selection and Justification</w:t>
      </w:r>
    </w:p>
    <w:p w14:paraId="27264E23" w14:textId="281CD76E" w:rsidR="002C048D" w:rsidRPr="0044638E" w:rsidRDefault="002C048D" w:rsidP="00E74904">
      <w:pPr>
        <w:pStyle w:val="NoSpacing"/>
        <w:spacing w:line="360" w:lineRule="auto"/>
        <w:jc w:val="both"/>
        <w:rPr>
          <w:rFonts w:ascii="Calibri" w:hAnsi="Calibri" w:cs="Calibri"/>
          <w:sz w:val="24"/>
          <w:szCs w:val="24"/>
        </w:rPr>
      </w:pPr>
      <w:r w:rsidRPr="0044638E">
        <w:rPr>
          <w:rFonts w:ascii="Calibri" w:hAnsi="Calibri" w:cs="Calibri"/>
          <w:sz w:val="24"/>
          <w:szCs w:val="24"/>
        </w:rPr>
        <w:t xml:space="preserve">The study focuses on four leading FinTech lenders: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Starling Bank,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and </w:t>
      </w:r>
      <w:proofErr w:type="spellStart"/>
      <w:r w:rsidRPr="0044638E">
        <w:rPr>
          <w:rFonts w:ascii="Calibri" w:hAnsi="Calibri" w:cs="Calibri"/>
          <w:sz w:val="24"/>
          <w:szCs w:val="24"/>
        </w:rPr>
        <w:t>Zopa</w:t>
      </w:r>
      <w:proofErr w:type="spellEnd"/>
      <w:r w:rsidRPr="0044638E">
        <w:rPr>
          <w:rFonts w:ascii="Calibri" w:hAnsi="Calibri" w:cs="Calibri"/>
          <w:sz w:val="24"/>
          <w:szCs w:val="24"/>
        </w:rPr>
        <w:t>. These firms were selected for their prominence in the UK market, their diverse business models (retail banking, lending, international payments), and publicly available data.</w:t>
      </w:r>
      <w:r w:rsidR="00E74904">
        <w:rPr>
          <w:rFonts w:ascii="Calibri" w:hAnsi="Calibri" w:cs="Calibri"/>
          <w:sz w:val="24"/>
          <w:szCs w:val="24"/>
        </w:rPr>
        <w:t xml:space="preserve"> </w:t>
      </w:r>
      <w:r w:rsidRPr="0044638E">
        <w:rPr>
          <w:rFonts w:ascii="Calibri" w:hAnsi="Calibri" w:cs="Calibri"/>
          <w:sz w:val="24"/>
          <w:szCs w:val="24"/>
        </w:rPr>
        <w:t>To provide a benchmark, the study will also include traditional banks: Barclays, Lloyds Bank, HSBC, and NatWest. These incumbents have invested heavily in digital transformation while maintaining long-standing governance frameworks.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4"/>
        <w:gridCol w:w="2554"/>
        <w:gridCol w:w="4702"/>
      </w:tblGrid>
      <w:tr w:rsidR="002C048D" w:rsidRPr="0044638E" w14:paraId="2CB2503A" w14:textId="77777777" w:rsidTr="00452C5F">
        <w:trPr>
          <w:tblHeader/>
          <w:tblCellSpacing w:w="15" w:type="dxa"/>
        </w:trPr>
        <w:tc>
          <w:tcPr>
            <w:tcW w:w="0" w:type="auto"/>
            <w:vAlign w:val="center"/>
            <w:hideMark/>
          </w:tcPr>
          <w:p w14:paraId="03904F76"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Firm Type</w:t>
            </w:r>
          </w:p>
        </w:tc>
        <w:tc>
          <w:tcPr>
            <w:tcW w:w="0" w:type="auto"/>
            <w:vAlign w:val="center"/>
            <w:hideMark/>
          </w:tcPr>
          <w:p w14:paraId="524524ED" w14:textId="77777777" w:rsidR="002C048D" w:rsidRPr="0044638E" w:rsidRDefault="002C048D" w:rsidP="0044638E">
            <w:pPr>
              <w:pStyle w:val="NoSpacing"/>
              <w:spacing w:line="360" w:lineRule="auto"/>
              <w:rPr>
                <w:rFonts w:ascii="Calibri" w:hAnsi="Calibri" w:cs="Calibri"/>
                <w:b/>
                <w:bCs/>
                <w:sz w:val="24"/>
                <w:szCs w:val="24"/>
              </w:rPr>
            </w:pPr>
            <w:proofErr w:type="spellStart"/>
            <w:r w:rsidRPr="0044638E">
              <w:rPr>
                <w:rFonts w:ascii="Calibri" w:hAnsi="Calibri" w:cs="Calibri"/>
                <w:b/>
                <w:bCs/>
                <w:sz w:val="24"/>
                <w:szCs w:val="24"/>
              </w:rPr>
              <w:t>Organisations</w:t>
            </w:r>
            <w:proofErr w:type="spellEnd"/>
          </w:p>
        </w:tc>
        <w:tc>
          <w:tcPr>
            <w:tcW w:w="0" w:type="auto"/>
            <w:vAlign w:val="center"/>
            <w:hideMark/>
          </w:tcPr>
          <w:p w14:paraId="41A687BE"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Justification</w:t>
            </w:r>
          </w:p>
        </w:tc>
      </w:tr>
      <w:tr w:rsidR="002C048D" w:rsidRPr="0044638E" w14:paraId="0D7DBDF8" w14:textId="77777777" w:rsidTr="00452C5F">
        <w:trPr>
          <w:tblCellSpacing w:w="15" w:type="dxa"/>
        </w:trPr>
        <w:tc>
          <w:tcPr>
            <w:tcW w:w="0" w:type="auto"/>
            <w:vAlign w:val="center"/>
            <w:hideMark/>
          </w:tcPr>
          <w:p w14:paraId="4FBC907E"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FinTech</w:t>
            </w:r>
          </w:p>
        </w:tc>
        <w:tc>
          <w:tcPr>
            <w:tcW w:w="0" w:type="auto"/>
            <w:vAlign w:val="center"/>
            <w:hideMark/>
          </w:tcPr>
          <w:p w14:paraId="1000204C" w14:textId="77777777" w:rsidR="002C048D" w:rsidRPr="0044638E" w:rsidRDefault="002C048D" w:rsidP="0044638E">
            <w:pPr>
              <w:pStyle w:val="NoSpacing"/>
              <w:spacing w:line="360" w:lineRule="auto"/>
              <w:rPr>
                <w:rFonts w:ascii="Calibri" w:hAnsi="Calibri" w:cs="Calibri"/>
                <w:sz w:val="24"/>
                <w:szCs w:val="24"/>
              </w:rPr>
            </w:pP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Starling, </w:t>
            </w:r>
            <w:proofErr w:type="spellStart"/>
            <w:r w:rsidRPr="0044638E">
              <w:rPr>
                <w:rFonts w:ascii="Calibri" w:hAnsi="Calibri" w:cs="Calibri"/>
                <w:sz w:val="24"/>
                <w:szCs w:val="24"/>
              </w:rPr>
              <w:t>Zopa</w:t>
            </w:r>
            <w:proofErr w:type="spellEnd"/>
            <w:r w:rsidRPr="0044638E">
              <w:rPr>
                <w:rFonts w:ascii="Calibri" w:hAnsi="Calibri" w:cs="Calibri"/>
                <w:sz w:val="24"/>
                <w:szCs w:val="24"/>
              </w:rPr>
              <w:t xml:space="preserve">, </w:t>
            </w:r>
            <w:proofErr w:type="spellStart"/>
            <w:r w:rsidRPr="0044638E">
              <w:rPr>
                <w:rFonts w:ascii="Calibri" w:hAnsi="Calibri" w:cs="Calibri"/>
                <w:sz w:val="24"/>
                <w:szCs w:val="24"/>
              </w:rPr>
              <w:t>Revolut</w:t>
            </w:r>
            <w:proofErr w:type="spellEnd"/>
          </w:p>
        </w:tc>
        <w:tc>
          <w:tcPr>
            <w:tcW w:w="0" w:type="auto"/>
            <w:vAlign w:val="center"/>
            <w:hideMark/>
          </w:tcPr>
          <w:p w14:paraId="6FE3B403"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Digital-first, significant user base, subject to recent FCA reviews</w:t>
            </w:r>
          </w:p>
        </w:tc>
      </w:tr>
      <w:tr w:rsidR="002C048D" w:rsidRPr="0044638E" w14:paraId="1F80356A" w14:textId="77777777" w:rsidTr="00452C5F">
        <w:trPr>
          <w:tblCellSpacing w:w="15" w:type="dxa"/>
        </w:trPr>
        <w:tc>
          <w:tcPr>
            <w:tcW w:w="0" w:type="auto"/>
            <w:vAlign w:val="center"/>
            <w:hideMark/>
          </w:tcPr>
          <w:p w14:paraId="2BED95B5"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Traditional Bank</w:t>
            </w:r>
          </w:p>
        </w:tc>
        <w:tc>
          <w:tcPr>
            <w:tcW w:w="0" w:type="auto"/>
            <w:vAlign w:val="center"/>
            <w:hideMark/>
          </w:tcPr>
          <w:p w14:paraId="54950696"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Barclays, Lloyds, HSBC, NatWest</w:t>
            </w:r>
          </w:p>
        </w:tc>
        <w:tc>
          <w:tcPr>
            <w:tcW w:w="0" w:type="auto"/>
            <w:vAlign w:val="center"/>
            <w:hideMark/>
          </w:tcPr>
          <w:p w14:paraId="742A8D6B"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Mature governance, diversified services, comparable customer scale</w:t>
            </w:r>
          </w:p>
        </w:tc>
      </w:tr>
    </w:tbl>
    <w:p w14:paraId="7F13D9B2" w14:textId="77777777" w:rsidR="00E74904" w:rsidRDefault="00E74904" w:rsidP="0044638E">
      <w:pPr>
        <w:pStyle w:val="NoSpacing"/>
        <w:spacing w:line="360" w:lineRule="auto"/>
        <w:rPr>
          <w:rFonts w:ascii="Calibri" w:hAnsi="Calibri" w:cs="Calibri"/>
          <w:sz w:val="24"/>
          <w:szCs w:val="24"/>
        </w:rPr>
      </w:pPr>
    </w:p>
    <w:p w14:paraId="148DDA95" w14:textId="75815E84"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t>4.3 Data Sources</w:t>
      </w:r>
    </w:p>
    <w:p w14:paraId="21074D03"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Annual Reports and Governance Statements</w:t>
      </w:r>
      <w:r w:rsidRPr="00E74904">
        <w:rPr>
          <w:rFonts w:ascii="Calibri" w:hAnsi="Calibri" w:cs="Calibri"/>
          <w:b/>
          <w:sz w:val="24"/>
          <w:szCs w:val="24"/>
        </w:rPr>
        <w:t xml:space="preserve"> (Companies House)</w:t>
      </w:r>
    </w:p>
    <w:p w14:paraId="30223F7C"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FCA Regulatory Filings and Thematic Reviews</w:t>
      </w:r>
    </w:p>
    <w:p w14:paraId="2CEA5842"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Incident Reports and Breach Disclosures</w:t>
      </w:r>
      <w:r w:rsidRPr="00E74904">
        <w:rPr>
          <w:rFonts w:ascii="Calibri" w:hAnsi="Calibri" w:cs="Calibri"/>
          <w:b/>
          <w:sz w:val="24"/>
          <w:szCs w:val="24"/>
        </w:rPr>
        <w:t xml:space="preserve"> (e.g., ICO, </w:t>
      </w:r>
      <w:proofErr w:type="spellStart"/>
      <w:r w:rsidRPr="00E74904">
        <w:rPr>
          <w:rFonts w:ascii="Calibri" w:hAnsi="Calibri" w:cs="Calibri"/>
          <w:b/>
          <w:sz w:val="24"/>
          <w:szCs w:val="24"/>
        </w:rPr>
        <w:t>Revolut</w:t>
      </w:r>
      <w:proofErr w:type="spellEnd"/>
      <w:r w:rsidRPr="00E74904">
        <w:rPr>
          <w:rFonts w:ascii="Calibri" w:hAnsi="Calibri" w:cs="Calibri"/>
          <w:b/>
          <w:sz w:val="24"/>
          <w:szCs w:val="24"/>
        </w:rPr>
        <w:t>)</w:t>
      </w:r>
    </w:p>
    <w:p w14:paraId="35489825"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ISO/NIST Compliance Records</w:t>
      </w:r>
    </w:p>
    <w:p w14:paraId="3D0197D0"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Academic Databases</w:t>
      </w:r>
      <w:r w:rsidRPr="00E74904">
        <w:rPr>
          <w:rFonts w:ascii="Calibri" w:hAnsi="Calibri" w:cs="Calibri"/>
          <w:b/>
          <w:sz w:val="24"/>
          <w:szCs w:val="24"/>
        </w:rPr>
        <w:t xml:space="preserve"> (Google Scholar, SSRN)</w:t>
      </w:r>
    </w:p>
    <w:p w14:paraId="0129CE46" w14:textId="77777777" w:rsidR="002C048D" w:rsidRPr="00E74904"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Open Banking and PSD2 Policy Documentation</w:t>
      </w:r>
    </w:p>
    <w:p w14:paraId="3BDB0063" w14:textId="08657586" w:rsidR="002C048D" w:rsidRDefault="002C048D" w:rsidP="00E74904">
      <w:pPr>
        <w:pStyle w:val="NoSpacing"/>
        <w:numPr>
          <w:ilvl w:val="0"/>
          <w:numId w:val="37"/>
        </w:numPr>
        <w:spacing w:line="360" w:lineRule="auto"/>
        <w:rPr>
          <w:rFonts w:ascii="Calibri" w:hAnsi="Calibri" w:cs="Calibri"/>
          <w:b/>
          <w:sz w:val="24"/>
          <w:szCs w:val="24"/>
        </w:rPr>
      </w:pPr>
      <w:r w:rsidRPr="00E74904">
        <w:rPr>
          <w:rStyle w:val="Strong"/>
          <w:rFonts w:ascii="Calibri" w:hAnsi="Calibri" w:cs="Calibri"/>
          <w:b w:val="0"/>
          <w:sz w:val="24"/>
          <w:szCs w:val="24"/>
        </w:rPr>
        <w:t>Consumer Survey Results and Trust Metrics</w:t>
      </w:r>
      <w:r w:rsidRPr="00E74904">
        <w:rPr>
          <w:rFonts w:ascii="Calibri" w:hAnsi="Calibri" w:cs="Calibri"/>
          <w:b/>
          <w:sz w:val="24"/>
          <w:szCs w:val="24"/>
        </w:rPr>
        <w:t xml:space="preserve"> (Statista, YouGov)</w:t>
      </w:r>
    </w:p>
    <w:p w14:paraId="375A3D2B" w14:textId="77777777" w:rsidR="00E74904" w:rsidRPr="00E74904" w:rsidRDefault="00E74904" w:rsidP="00E74904">
      <w:pPr>
        <w:pStyle w:val="NoSpacing"/>
        <w:spacing w:line="360" w:lineRule="auto"/>
        <w:rPr>
          <w:rFonts w:ascii="Calibri" w:hAnsi="Calibri" w:cs="Calibri"/>
          <w:b/>
          <w:sz w:val="24"/>
          <w:szCs w:val="24"/>
        </w:rPr>
      </w:pPr>
    </w:p>
    <w:p w14:paraId="5BAAAF34" w14:textId="77777777" w:rsidR="002C048D" w:rsidRPr="00E74904" w:rsidRDefault="002C048D" w:rsidP="0044638E">
      <w:pPr>
        <w:pStyle w:val="NoSpacing"/>
        <w:spacing w:line="360" w:lineRule="auto"/>
        <w:rPr>
          <w:rFonts w:ascii="Calibri" w:hAnsi="Calibri" w:cs="Calibri"/>
          <w:color w:val="1F497D" w:themeColor="text2"/>
          <w:sz w:val="24"/>
          <w:szCs w:val="24"/>
        </w:rPr>
      </w:pPr>
      <w:r w:rsidRPr="00E74904">
        <w:rPr>
          <w:rFonts w:ascii="Calibri" w:hAnsi="Calibri" w:cs="Calibri"/>
          <w:color w:val="1F497D" w:themeColor="text2"/>
          <w:sz w:val="24"/>
          <w:szCs w:val="24"/>
        </w:rPr>
        <w:lastRenderedPageBreak/>
        <w:t>4.4 Analytical Tools and Techniques</w:t>
      </w:r>
    </w:p>
    <w:p w14:paraId="3E105002" w14:textId="77777777" w:rsidR="002C048D" w:rsidRPr="0044638E" w:rsidRDefault="002C048D" w:rsidP="00244B69">
      <w:pPr>
        <w:pStyle w:val="NoSpacing"/>
        <w:spacing w:line="360" w:lineRule="auto"/>
        <w:rPr>
          <w:rFonts w:ascii="Calibri" w:hAnsi="Calibri" w:cs="Calibri"/>
          <w:sz w:val="24"/>
          <w:szCs w:val="24"/>
        </w:rPr>
      </w:pPr>
      <w:r w:rsidRPr="0044638E">
        <w:rPr>
          <w:rStyle w:val="Strong"/>
          <w:rFonts w:ascii="Calibri" w:hAnsi="Calibri" w:cs="Calibri"/>
          <w:sz w:val="24"/>
          <w:szCs w:val="24"/>
        </w:rPr>
        <w:t>Qualitative Analysis:</w:t>
      </w:r>
    </w:p>
    <w:p w14:paraId="56586246" w14:textId="254E849F" w:rsidR="002C048D" w:rsidRPr="0044638E"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Use of NVivo for coding governance statements, policy documents, and interviews (if applicable).</w:t>
      </w:r>
      <w:r w:rsidR="00244B69">
        <w:rPr>
          <w:rFonts w:ascii="Calibri" w:hAnsi="Calibri" w:cs="Calibri"/>
          <w:sz w:val="24"/>
          <w:szCs w:val="24"/>
        </w:rPr>
        <w:t xml:space="preserve"> </w:t>
      </w:r>
      <w:r w:rsidRPr="0044638E">
        <w:rPr>
          <w:rFonts w:ascii="Calibri" w:hAnsi="Calibri" w:cs="Calibri"/>
          <w:sz w:val="24"/>
          <w:szCs w:val="24"/>
        </w:rPr>
        <w:t>Thematic analysis to identify patterns in governance maturity, breach responses, and regulatory engagement.</w:t>
      </w:r>
    </w:p>
    <w:p w14:paraId="17BEEBF4" w14:textId="77777777" w:rsidR="002C048D" w:rsidRPr="0044638E" w:rsidRDefault="002C048D" w:rsidP="0044638E">
      <w:pPr>
        <w:pStyle w:val="NoSpacing"/>
        <w:spacing w:line="360" w:lineRule="auto"/>
        <w:rPr>
          <w:rFonts w:ascii="Calibri" w:hAnsi="Calibri" w:cs="Calibri"/>
          <w:sz w:val="24"/>
          <w:szCs w:val="24"/>
        </w:rPr>
      </w:pPr>
      <w:r w:rsidRPr="0044638E">
        <w:rPr>
          <w:rStyle w:val="Strong"/>
          <w:rFonts w:ascii="Calibri" w:hAnsi="Calibri" w:cs="Calibri"/>
          <w:sz w:val="24"/>
          <w:szCs w:val="24"/>
        </w:rPr>
        <w:t>Quantitative Analysis:</w:t>
      </w:r>
    </w:p>
    <w:p w14:paraId="271A9B8E" w14:textId="4CC6D6F1" w:rsidR="002C048D" w:rsidRPr="0044638E"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Breach frequency, time to resolution, compliance audit results.</w:t>
      </w:r>
      <w:r w:rsidR="00244B69">
        <w:rPr>
          <w:rFonts w:ascii="Calibri" w:hAnsi="Calibri" w:cs="Calibri"/>
          <w:sz w:val="24"/>
          <w:szCs w:val="24"/>
        </w:rPr>
        <w:t xml:space="preserve"> </w:t>
      </w:r>
      <w:r w:rsidRPr="0044638E">
        <w:rPr>
          <w:rFonts w:ascii="Calibri" w:hAnsi="Calibri" w:cs="Calibri"/>
          <w:sz w:val="24"/>
          <w:szCs w:val="24"/>
        </w:rPr>
        <w:t>Descriptive statistics to highlight sectoral gaps.</w:t>
      </w:r>
      <w:r w:rsidR="00244B69">
        <w:rPr>
          <w:rFonts w:ascii="Calibri" w:hAnsi="Calibri" w:cs="Calibri"/>
          <w:sz w:val="24"/>
          <w:szCs w:val="24"/>
        </w:rPr>
        <w:t xml:space="preserve"> </w:t>
      </w:r>
      <w:r w:rsidRPr="0044638E">
        <w:rPr>
          <w:rFonts w:ascii="Calibri" w:hAnsi="Calibri" w:cs="Calibri"/>
          <w:sz w:val="24"/>
          <w:szCs w:val="24"/>
        </w:rPr>
        <w:t>Cross-tabulations comparing governance indicators (e.g., board-level data committees, external certifications).</w:t>
      </w:r>
    </w:p>
    <w:p w14:paraId="42CE4FD5" w14:textId="77777777" w:rsidR="002C048D" w:rsidRPr="0044638E" w:rsidRDefault="002C048D" w:rsidP="0044638E">
      <w:pPr>
        <w:pStyle w:val="NoSpacing"/>
        <w:spacing w:line="360" w:lineRule="auto"/>
        <w:rPr>
          <w:rFonts w:ascii="Calibri" w:hAnsi="Calibri" w:cs="Calibri"/>
          <w:sz w:val="24"/>
          <w:szCs w:val="24"/>
        </w:rPr>
      </w:pPr>
      <w:r w:rsidRPr="0044638E">
        <w:rPr>
          <w:rStyle w:val="Strong"/>
          <w:rFonts w:ascii="Calibri" w:hAnsi="Calibri" w:cs="Calibri"/>
          <w:sz w:val="24"/>
          <w:szCs w:val="24"/>
        </w:rPr>
        <w:t>Benchmarking:</w:t>
      </w:r>
    </w:p>
    <w:p w14:paraId="53985D04" w14:textId="42441A67" w:rsidR="002C048D"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Mapping of each firm's alignment with ISO 27001 controls and NIST functions (Identify, Protect, Detect, Respond, Recover).</w:t>
      </w:r>
      <w:r w:rsidR="00244B69">
        <w:rPr>
          <w:rFonts w:ascii="Calibri" w:hAnsi="Calibri" w:cs="Calibri"/>
          <w:sz w:val="24"/>
          <w:szCs w:val="24"/>
        </w:rPr>
        <w:t xml:space="preserve"> </w:t>
      </w:r>
      <w:r w:rsidRPr="0044638E">
        <w:rPr>
          <w:rFonts w:ascii="Calibri" w:hAnsi="Calibri" w:cs="Calibri"/>
          <w:sz w:val="24"/>
          <w:szCs w:val="24"/>
        </w:rPr>
        <w:t>Comparative matrix scoring across six dimensions: data quality, risk management, access control, vendor oversight, incident response, and compliance.</w:t>
      </w:r>
    </w:p>
    <w:p w14:paraId="49B5A886" w14:textId="77777777" w:rsidR="00244B69" w:rsidRPr="0044638E" w:rsidRDefault="00244B69" w:rsidP="0044638E">
      <w:pPr>
        <w:pStyle w:val="NoSpacing"/>
        <w:spacing w:line="360" w:lineRule="auto"/>
        <w:rPr>
          <w:rFonts w:ascii="Calibri" w:hAnsi="Calibri" w:cs="Calibri"/>
          <w:sz w:val="24"/>
          <w:szCs w:val="24"/>
        </w:rPr>
      </w:pPr>
    </w:p>
    <w:p w14:paraId="17354DAE"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4.5 Ethical Considerations</w:t>
      </w:r>
    </w:p>
    <w:p w14:paraId="02D8E6A1" w14:textId="5DC8E7C6" w:rsidR="002C048D"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The study uses only secondary data that is publicly accessible or legally obtained through proper citations. No human participants will be involved, eliminating the need for informed consent procedures.</w:t>
      </w:r>
      <w:r w:rsidR="00244B69">
        <w:rPr>
          <w:rFonts w:ascii="Calibri" w:hAnsi="Calibri" w:cs="Calibri"/>
          <w:sz w:val="24"/>
          <w:szCs w:val="24"/>
        </w:rPr>
        <w:t xml:space="preserve"> </w:t>
      </w:r>
      <w:r w:rsidRPr="0044638E">
        <w:rPr>
          <w:rFonts w:ascii="Calibri" w:hAnsi="Calibri" w:cs="Calibri"/>
          <w:sz w:val="24"/>
          <w:szCs w:val="24"/>
        </w:rPr>
        <w:t>Ethical safeguards include</w:t>
      </w:r>
      <w:r w:rsidR="00244B69">
        <w:rPr>
          <w:rFonts w:ascii="Calibri" w:hAnsi="Calibri" w:cs="Calibri"/>
          <w:sz w:val="24"/>
          <w:szCs w:val="24"/>
        </w:rPr>
        <w:t xml:space="preserve"> </w:t>
      </w:r>
      <w:r w:rsidRPr="0044638E">
        <w:rPr>
          <w:rFonts w:ascii="Calibri" w:hAnsi="Calibri" w:cs="Calibri"/>
          <w:sz w:val="24"/>
          <w:szCs w:val="24"/>
        </w:rPr>
        <w:t>Respect for corporate confidentiality where applicable</w:t>
      </w:r>
      <w:r w:rsidR="00244B69">
        <w:rPr>
          <w:rFonts w:ascii="Calibri" w:hAnsi="Calibri" w:cs="Calibri"/>
          <w:sz w:val="24"/>
          <w:szCs w:val="24"/>
        </w:rPr>
        <w:t xml:space="preserve"> </w:t>
      </w:r>
      <w:r w:rsidRPr="0044638E">
        <w:rPr>
          <w:rFonts w:ascii="Calibri" w:hAnsi="Calibri" w:cs="Calibri"/>
          <w:sz w:val="24"/>
          <w:szCs w:val="24"/>
        </w:rPr>
        <w:t>Accurate and fair representation of firm practices</w:t>
      </w:r>
      <w:r w:rsidR="00244B69">
        <w:rPr>
          <w:rFonts w:ascii="Calibri" w:hAnsi="Calibri" w:cs="Calibri"/>
          <w:sz w:val="24"/>
          <w:szCs w:val="24"/>
        </w:rPr>
        <w:t xml:space="preserve"> </w:t>
      </w:r>
      <w:r w:rsidRPr="0044638E">
        <w:rPr>
          <w:rFonts w:ascii="Calibri" w:hAnsi="Calibri" w:cs="Calibri"/>
          <w:sz w:val="24"/>
          <w:szCs w:val="24"/>
        </w:rPr>
        <w:t xml:space="preserve">Use of </w:t>
      </w:r>
      <w:proofErr w:type="spellStart"/>
      <w:r w:rsidRPr="0044638E">
        <w:rPr>
          <w:rFonts w:ascii="Calibri" w:hAnsi="Calibri" w:cs="Calibri"/>
          <w:sz w:val="24"/>
          <w:szCs w:val="24"/>
        </w:rPr>
        <w:t>anonymised</w:t>
      </w:r>
      <w:proofErr w:type="spellEnd"/>
      <w:r w:rsidRPr="0044638E">
        <w:rPr>
          <w:rFonts w:ascii="Calibri" w:hAnsi="Calibri" w:cs="Calibri"/>
          <w:sz w:val="24"/>
          <w:szCs w:val="24"/>
        </w:rPr>
        <w:t xml:space="preserve"> summaries where detailed firm data is sensitive</w:t>
      </w:r>
      <w:r w:rsidR="00244B69">
        <w:rPr>
          <w:rFonts w:ascii="Calibri" w:hAnsi="Calibri" w:cs="Calibri"/>
          <w:sz w:val="24"/>
          <w:szCs w:val="24"/>
        </w:rPr>
        <w:t xml:space="preserve"> </w:t>
      </w:r>
      <w:r w:rsidRPr="0044638E">
        <w:rPr>
          <w:rFonts w:ascii="Calibri" w:hAnsi="Calibri" w:cs="Calibri"/>
          <w:sz w:val="24"/>
          <w:szCs w:val="24"/>
        </w:rPr>
        <w:t>This project complies with the University of Surrey’s ethical research guidelines and reflects best practice in financial research ethics.</w:t>
      </w:r>
    </w:p>
    <w:p w14:paraId="00DF5AED" w14:textId="77777777" w:rsidR="00244B69" w:rsidRPr="0044638E" w:rsidRDefault="00244B69" w:rsidP="00244B69">
      <w:pPr>
        <w:pStyle w:val="NoSpacing"/>
        <w:spacing w:line="360" w:lineRule="auto"/>
        <w:jc w:val="both"/>
        <w:rPr>
          <w:rFonts w:ascii="Calibri" w:hAnsi="Calibri" w:cs="Calibri"/>
          <w:sz w:val="24"/>
          <w:szCs w:val="24"/>
        </w:rPr>
      </w:pPr>
    </w:p>
    <w:p w14:paraId="56144F9B"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4.6 Limitations</w:t>
      </w:r>
    </w:p>
    <w:p w14:paraId="643ED216" w14:textId="77777777" w:rsidR="002C048D" w:rsidRPr="0044638E" w:rsidRDefault="002C048D" w:rsidP="0044638E">
      <w:pPr>
        <w:pStyle w:val="NoSpacing"/>
        <w:spacing w:line="360" w:lineRule="auto"/>
        <w:rPr>
          <w:rFonts w:ascii="Calibri" w:hAnsi="Calibri" w:cs="Calibri"/>
          <w:sz w:val="24"/>
          <w:szCs w:val="24"/>
        </w:rPr>
      </w:pPr>
      <w:r w:rsidRPr="0044638E">
        <w:rPr>
          <w:rStyle w:val="Strong"/>
          <w:rFonts w:ascii="Calibri" w:hAnsi="Calibri" w:cs="Calibri"/>
          <w:sz w:val="24"/>
          <w:szCs w:val="24"/>
        </w:rPr>
        <w:t>Data Asymmetry:</w:t>
      </w:r>
      <w:r w:rsidRPr="0044638E">
        <w:rPr>
          <w:rFonts w:ascii="Calibri" w:hAnsi="Calibri" w:cs="Calibri"/>
          <w:sz w:val="24"/>
          <w:szCs w:val="24"/>
        </w:rPr>
        <w:t xml:space="preserve"> Traditional banks disclose more detail due to mandatory reporting, potentially creating imbalanced comparisons.</w:t>
      </w:r>
    </w:p>
    <w:p w14:paraId="590E9299" w14:textId="77777777" w:rsidR="002C048D" w:rsidRPr="0044638E" w:rsidRDefault="002C048D" w:rsidP="0044638E">
      <w:pPr>
        <w:pStyle w:val="NoSpacing"/>
        <w:spacing w:line="360" w:lineRule="auto"/>
        <w:rPr>
          <w:rFonts w:ascii="Calibri" w:hAnsi="Calibri" w:cs="Calibri"/>
          <w:sz w:val="24"/>
          <w:szCs w:val="24"/>
        </w:rPr>
      </w:pPr>
      <w:r w:rsidRPr="0044638E">
        <w:rPr>
          <w:rStyle w:val="Strong"/>
          <w:rFonts w:ascii="Calibri" w:hAnsi="Calibri" w:cs="Calibri"/>
          <w:sz w:val="24"/>
          <w:szCs w:val="24"/>
        </w:rPr>
        <w:t>Time Sensitivity:</w:t>
      </w:r>
      <w:r w:rsidRPr="0044638E">
        <w:rPr>
          <w:rFonts w:ascii="Calibri" w:hAnsi="Calibri" w:cs="Calibri"/>
          <w:sz w:val="24"/>
          <w:szCs w:val="24"/>
        </w:rPr>
        <w:t xml:space="preserve"> Practices may evolve quickly; findings are contextualised for the 2018–2025 period.</w:t>
      </w:r>
    </w:p>
    <w:p w14:paraId="1F1AD40C" w14:textId="7F707DFD" w:rsidR="002C048D" w:rsidRDefault="002C048D" w:rsidP="0044638E">
      <w:pPr>
        <w:pStyle w:val="NoSpacing"/>
        <w:spacing w:line="360" w:lineRule="auto"/>
        <w:rPr>
          <w:rFonts w:ascii="Calibri" w:hAnsi="Calibri" w:cs="Calibri"/>
          <w:sz w:val="24"/>
          <w:szCs w:val="24"/>
        </w:rPr>
      </w:pPr>
      <w:r w:rsidRPr="0044638E">
        <w:rPr>
          <w:rStyle w:val="Strong"/>
          <w:rFonts w:ascii="Calibri" w:hAnsi="Calibri" w:cs="Calibri"/>
          <w:sz w:val="24"/>
          <w:szCs w:val="24"/>
        </w:rPr>
        <w:lastRenderedPageBreak/>
        <w:t>Access Constraints:</w:t>
      </w:r>
      <w:r w:rsidRPr="0044638E">
        <w:rPr>
          <w:rFonts w:ascii="Calibri" w:hAnsi="Calibri" w:cs="Calibri"/>
          <w:sz w:val="24"/>
          <w:szCs w:val="24"/>
        </w:rPr>
        <w:t xml:space="preserve"> Full internal governance policies may be unavailable, requiring reliance on external disclosures.</w:t>
      </w:r>
    </w:p>
    <w:p w14:paraId="199E6061" w14:textId="77777777" w:rsidR="00244B69" w:rsidRPr="00244B69" w:rsidRDefault="00244B69" w:rsidP="0044638E">
      <w:pPr>
        <w:pStyle w:val="NoSpacing"/>
        <w:spacing w:line="360" w:lineRule="auto"/>
        <w:rPr>
          <w:rFonts w:ascii="Calibri" w:hAnsi="Calibri" w:cs="Calibri"/>
          <w:color w:val="1F497D" w:themeColor="text2"/>
          <w:sz w:val="24"/>
          <w:szCs w:val="24"/>
        </w:rPr>
      </w:pPr>
    </w:p>
    <w:p w14:paraId="63458961"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4.7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8"/>
        <w:gridCol w:w="1767"/>
      </w:tblGrid>
      <w:tr w:rsidR="002C048D" w:rsidRPr="0044638E" w14:paraId="3AF92DDC" w14:textId="77777777" w:rsidTr="00244B69">
        <w:trPr>
          <w:tblHeader/>
          <w:tblCellSpacing w:w="15" w:type="dxa"/>
        </w:trPr>
        <w:tc>
          <w:tcPr>
            <w:tcW w:w="0" w:type="auto"/>
            <w:vAlign w:val="center"/>
            <w:hideMark/>
          </w:tcPr>
          <w:p w14:paraId="7DB430D7"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Phase</w:t>
            </w:r>
          </w:p>
        </w:tc>
        <w:tc>
          <w:tcPr>
            <w:tcW w:w="0" w:type="auto"/>
            <w:vAlign w:val="center"/>
            <w:hideMark/>
          </w:tcPr>
          <w:p w14:paraId="04C2A9CF"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Timeline</w:t>
            </w:r>
          </w:p>
        </w:tc>
      </w:tr>
      <w:tr w:rsidR="002C048D" w:rsidRPr="0044638E" w14:paraId="7634A3C6" w14:textId="77777777" w:rsidTr="00244B69">
        <w:trPr>
          <w:tblCellSpacing w:w="15" w:type="dxa"/>
        </w:trPr>
        <w:tc>
          <w:tcPr>
            <w:tcW w:w="0" w:type="auto"/>
            <w:vAlign w:val="center"/>
            <w:hideMark/>
          </w:tcPr>
          <w:p w14:paraId="04612B97"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Literature Review</w:t>
            </w:r>
          </w:p>
        </w:tc>
        <w:tc>
          <w:tcPr>
            <w:tcW w:w="0" w:type="auto"/>
            <w:vAlign w:val="center"/>
            <w:hideMark/>
          </w:tcPr>
          <w:p w14:paraId="1ED1EB17" w14:textId="5DC30AF1"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 xml:space="preserve"> June</w:t>
            </w:r>
            <w:r w:rsidR="00244B69">
              <w:rPr>
                <w:rFonts w:ascii="Calibri" w:hAnsi="Calibri" w:cs="Calibri"/>
                <w:sz w:val="24"/>
                <w:szCs w:val="24"/>
              </w:rPr>
              <w:t xml:space="preserve"> - July </w:t>
            </w:r>
            <w:r w:rsidRPr="0044638E">
              <w:rPr>
                <w:rFonts w:ascii="Calibri" w:hAnsi="Calibri" w:cs="Calibri"/>
                <w:sz w:val="24"/>
                <w:szCs w:val="24"/>
              </w:rPr>
              <w:t>2025</w:t>
            </w:r>
          </w:p>
        </w:tc>
      </w:tr>
      <w:tr w:rsidR="002C048D" w:rsidRPr="0044638E" w14:paraId="76A97F5F" w14:textId="77777777" w:rsidTr="00244B69">
        <w:trPr>
          <w:tblCellSpacing w:w="15" w:type="dxa"/>
        </w:trPr>
        <w:tc>
          <w:tcPr>
            <w:tcW w:w="0" w:type="auto"/>
            <w:vAlign w:val="center"/>
            <w:hideMark/>
          </w:tcPr>
          <w:p w14:paraId="5C7BDBA3"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Case Study Data Collection</w:t>
            </w:r>
          </w:p>
        </w:tc>
        <w:tc>
          <w:tcPr>
            <w:tcW w:w="0" w:type="auto"/>
            <w:vAlign w:val="center"/>
            <w:hideMark/>
          </w:tcPr>
          <w:p w14:paraId="16A5EE09" w14:textId="08DFC14B" w:rsidR="002C048D" w:rsidRPr="0044638E" w:rsidRDefault="00244B69" w:rsidP="0044638E">
            <w:pPr>
              <w:pStyle w:val="NoSpacing"/>
              <w:spacing w:line="360" w:lineRule="auto"/>
              <w:rPr>
                <w:rFonts w:ascii="Calibri" w:hAnsi="Calibri" w:cs="Calibri"/>
                <w:sz w:val="24"/>
                <w:szCs w:val="24"/>
              </w:rPr>
            </w:pPr>
            <w:r>
              <w:rPr>
                <w:rFonts w:ascii="Calibri" w:hAnsi="Calibri" w:cs="Calibri"/>
                <w:sz w:val="24"/>
                <w:szCs w:val="24"/>
              </w:rPr>
              <w:t xml:space="preserve"> August</w:t>
            </w:r>
            <w:r w:rsidR="002C048D" w:rsidRPr="0044638E">
              <w:rPr>
                <w:rFonts w:ascii="Calibri" w:hAnsi="Calibri" w:cs="Calibri"/>
                <w:sz w:val="24"/>
                <w:szCs w:val="24"/>
              </w:rPr>
              <w:t xml:space="preserve"> 2025</w:t>
            </w:r>
          </w:p>
        </w:tc>
      </w:tr>
      <w:tr w:rsidR="002C048D" w:rsidRPr="0044638E" w14:paraId="38A7C814" w14:textId="77777777" w:rsidTr="00244B69">
        <w:trPr>
          <w:tblCellSpacing w:w="15" w:type="dxa"/>
        </w:trPr>
        <w:tc>
          <w:tcPr>
            <w:tcW w:w="0" w:type="auto"/>
            <w:vAlign w:val="center"/>
            <w:hideMark/>
          </w:tcPr>
          <w:p w14:paraId="5F8850E0"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Data Coding and Analysis</w:t>
            </w:r>
          </w:p>
        </w:tc>
        <w:tc>
          <w:tcPr>
            <w:tcW w:w="0" w:type="auto"/>
            <w:vAlign w:val="center"/>
            <w:hideMark/>
          </w:tcPr>
          <w:p w14:paraId="0B939AD6" w14:textId="1E57E249"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 xml:space="preserve"> </w:t>
            </w:r>
            <w:r w:rsidR="00244B69">
              <w:rPr>
                <w:rFonts w:ascii="Calibri" w:hAnsi="Calibri" w:cs="Calibri"/>
                <w:sz w:val="24"/>
                <w:szCs w:val="24"/>
              </w:rPr>
              <w:t xml:space="preserve">September </w:t>
            </w:r>
            <w:r w:rsidRPr="0044638E">
              <w:rPr>
                <w:rFonts w:ascii="Calibri" w:hAnsi="Calibri" w:cs="Calibri"/>
                <w:sz w:val="24"/>
                <w:szCs w:val="24"/>
              </w:rPr>
              <w:t>2025</w:t>
            </w:r>
          </w:p>
        </w:tc>
      </w:tr>
      <w:tr w:rsidR="002C048D" w:rsidRPr="0044638E" w14:paraId="01D20D52" w14:textId="77777777" w:rsidTr="00244B69">
        <w:trPr>
          <w:tblCellSpacing w:w="15" w:type="dxa"/>
        </w:trPr>
        <w:tc>
          <w:tcPr>
            <w:tcW w:w="0" w:type="auto"/>
            <w:vAlign w:val="center"/>
            <w:hideMark/>
          </w:tcPr>
          <w:p w14:paraId="17B373EC"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Drafting and Interpretation</w:t>
            </w:r>
          </w:p>
        </w:tc>
        <w:tc>
          <w:tcPr>
            <w:tcW w:w="0" w:type="auto"/>
            <w:vAlign w:val="center"/>
            <w:hideMark/>
          </w:tcPr>
          <w:p w14:paraId="5A72D13E" w14:textId="058C19DB" w:rsidR="002C048D" w:rsidRPr="0044638E" w:rsidRDefault="00244B69" w:rsidP="0044638E">
            <w:pPr>
              <w:pStyle w:val="NoSpacing"/>
              <w:spacing w:line="360" w:lineRule="auto"/>
              <w:rPr>
                <w:rFonts w:ascii="Calibri" w:hAnsi="Calibri" w:cs="Calibri"/>
                <w:sz w:val="24"/>
                <w:szCs w:val="24"/>
              </w:rPr>
            </w:pPr>
            <w:r>
              <w:rPr>
                <w:rFonts w:ascii="Calibri" w:hAnsi="Calibri" w:cs="Calibri"/>
                <w:sz w:val="24"/>
                <w:szCs w:val="24"/>
              </w:rPr>
              <w:t xml:space="preserve"> November</w:t>
            </w:r>
            <w:r w:rsidR="002C048D" w:rsidRPr="0044638E">
              <w:rPr>
                <w:rFonts w:ascii="Calibri" w:hAnsi="Calibri" w:cs="Calibri"/>
                <w:sz w:val="24"/>
                <w:szCs w:val="24"/>
              </w:rPr>
              <w:t xml:space="preserve"> 2025</w:t>
            </w:r>
          </w:p>
        </w:tc>
      </w:tr>
      <w:tr w:rsidR="002C048D" w:rsidRPr="0044638E" w14:paraId="76666678" w14:textId="77777777" w:rsidTr="00244B69">
        <w:trPr>
          <w:tblCellSpacing w:w="15" w:type="dxa"/>
        </w:trPr>
        <w:tc>
          <w:tcPr>
            <w:tcW w:w="0" w:type="auto"/>
            <w:vAlign w:val="center"/>
            <w:hideMark/>
          </w:tcPr>
          <w:p w14:paraId="7255B570"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Final Report and Submission</w:t>
            </w:r>
          </w:p>
        </w:tc>
        <w:tc>
          <w:tcPr>
            <w:tcW w:w="0" w:type="auto"/>
            <w:vAlign w:val="center"/>
            <w:hideMark/>
          </w:tcPr>
          <w:p w14:paraId="5D1E81CC" w14:textId="19AC05B2" w:rsidR="002C048D" w:rsidRPr="0044638E" w:rsidRDefault="00244B69" w:rsidP="0044638E">
            <w:pPr>
              <w:pStyle w:val="NoSpacing"/>
              <w:spacing w:line="360" w:lineRule="auto"/>
              <w:rPr>
                <w:rFonts w:ascii="Calibri" w:hAnsi="Calibri" w:cs="Calibri"/>
                <w:sz w:val="24"/>
                <w:szCs w:val="24"/>
              </w:rPr>
            </w:pPr>
            <w:r>
              <w:rPr>
                <w:rFonts w:ascii="Calibri" w:hAnsi="Calibri" w:cs="Calibri"/>
                <w:sz w:val="24"/>
                <w:szCs w:val="24"/>
              </w:rPr>
              <w:t xml:space="preserve"> December</w:t>
            </w:r>
            <w:r w:rsidR="002C048D" w:rsidRPr="0044638E">
              <w:rPr>
                <w:rFonts w:ascii="Calibri" w:hAnsi="Calibri" w:cs="Calibri"/>
                <w:sz w:val="24"/>
                <w:szCs w:val="24"/>
              </w:rPr>
              <w:t xml:space="preserve"> 2025</w:t>
            </w:r>
          </w:p>
        </w:tc>
      </w:tr>
    </w:tbl>
    <w:p w14:paraId="46FAEBC0" w14:textId="77777777" w:rsidR="00244B69" w:rsidRDefault="00244B69" w:rsidP="0044638E">
      <w:pPr>
        <w:pStyle w:val="NoSpacing"/>
        <w:spacing w:line="360" w:lineRule="auto"/>
        <w:rPr>
          <w:rFonts w:ascii="Calibri" w:hAnsi="Calibri" w:cs="Calibri"/>
          <w:sz w:val="24"/>
          <w:szCs w:val="24"/>
        </w:rPr>
      </w:pPr>
    </w:p>
    <w:p w14:paraId="5175F0FE" w14:textId="2E9937B5" w:rsidR="002C048D" w:rsidRPr="0044638E"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The methodology provides a structured, evidence-based framework to explore the state of data governance and cybersecurity across different financial institutions in the UK.</w:t>
      </w:r>
    </w:p>
    <w:p w14:paraId="34AB3397" w14:textId="23330C27" w:rsidR="002C048D" w:rsidRPr="0044638E" w:rsidRDefault="002C048D" w:rsidP="0044638E">
      <w:pPr>
        <w:pStyle w:val="NoSpacing"/>
        <w:spacing w:line="360" w:lineRule="auto"/>
        <w:rPr>
          <w:rFonts w:ascii="Calibri" w:hAnsi="Calibri" w:cs="Calibri"/>
          <w:sz w:val="24"/>
          <w:szCs w:val="24"/>
        </w:rPr>
      </w:pPr>
    </w:p>
    <w:p w14:paraId="26E6F03D"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5. Case Studies (UK Focused)</w:t>
      </w:r>
    </w:p>
    <w:p w14:paraId="049B1979" w14:textId="1DA67B3F" w:rsidR="002C048D" w:rsidRDefault="002C048D" w:rsidP="00244B69">
      <w:pPr>
        <w:pStyle w:val="NoSpacing"/>
        <w:spacing w:line="360" w:lineRule="auto"/>
        <w:jc w:val="both"/>
        <w:rPr>
          <w:rFonts w:ascii="Calibri" w:hAnsi="Calibri" w:cs="Calibri"/>
          <w:sz w:val="24"/>
          <w:szCs w:val="24"/>
        </w:rPr>
      </w:pPr>
      <w:r w:rsidRPr="0044638E">
        <w:rPr>
          <w:rFonts w:ascii="Calibri" w:hAnsi="Calibri" w:cs="Calibri"/>
          <w:sz w:val="24"/>
          <w:szCs w:val="24"/>
        </w:rPr>
        <w:t>This section presents an in-depth comparative case analysis of four UK-based FinTech lenders</w:t>
      </w:r>
      <w:r w:rsidR="00244B69">
        <w:rPr>
          <w:rFonts w:ascii="Calibri" w:hAnsi="Calibri" w:cs="Calibri"/>
          <w:sz w:val="24"/>
          <w:szCs w:val="24"/>
        </w:rPr>
        <w:t xml:space="preserve">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Starling Bank, and </w:t>
      </w:r>
      <w:proofErr w:type="spellStart"/>
      <w:r w:rsidRPr="0044638E">
        <w:rPr>
          <w:rFonts w:ascii="Calibri" w:hAnsi="Calibri" w:cs="Calibri"/>
          <w:sz w:val="24"/>
          <w:szCs w:val="24"/>
        </w:rPr>
        <w:t>Zopa</w:t>
      </w:r>
      <w:proofErr w:type="spellEnd"/>
      <w:r w:rsidR="00244B69">
        <w:rPr>
          <w:rFonts w:ascii="Calibri" w:hAnsi="Calibri" w:cs="Calibri"/>
          <w:sz w:val="24"/>
          <w:szCs w:val="24"/>
        </w:rPr>
        <w:t xml:space="preserve"> </w:t>
      </w:r>
      <w:r w:rsidRPr="0044638E">
        <w:rPr>
          <w:rFonts w:ascii="Calibri" w:hAnsi="Calibri" w:cs="Calibri"/>
          <w:sz w:val="24"/>
          <w:szCs w:val="24"/>
        </w:rPr>
        <w:t>with a focus on how they approach data governance, cybersecurity, and regulatory compliance. Each case is evaluated using a governance maturity model and cross-referenced against traditional banking practices from firms like Barclays, HSBC, and Lloyds.</w:t>
      </w:r>
    </w:p>
    <w:p w14:paraId="7C45CAA4" w14:textId="77777777" w:rsidR="00244B69" w:rsidRPr="0044638E" w:rsidRDefault="00244B69" w:rsidP="0044638E">
      <w:pPr>
        <w:pStyle w:val="NoSpacing"/>
        <w:spacing w:line="360" w:lineRule="auto"/>
        <w:rPr>
          <w:rFonts w:ascii="Calibri" w:hAnsi="Calibri" w:cs="Calibri"/>
          <w:sz w:val="24"/>
          <w:szCs w:val="24"/>
        </w:rPr>
      </w:pPr>
    </w:p>
    <w:p w14:paraId="4D2CEB1B"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 xml:space="preserve">5.1 </w:t>
      </w:r>
      <w:proofErr w:type="spellStart"/>
      <w:r w:rsidRPr="00244B69">
        <w:rPr>
          <w:rFonts w:ascii="Calibri" w:hAnsi="Calibri" w:cs="Calibri"/>
          <w:color w:val="1F497D" w:themeColor="text2"/>
          <w:sz w:val="24"/>
          <w:szCs w:val="24"/>
        </w:rPr>
        <w:t>Monzo</w:t>
      </w:r>
      <w:proofErr w:type="spellEnd"/>
    </w:p>
    <w:p w14:paraId="02449B20" w14:textId="1CFFBBD2" w:rsidR="00244B69" w:rsidRDefault="002C048D" w:rsidP="00244B69">
      <w:pPr>
        <w:pStyle w:val="NoSpacing"/>
        <w:spacing w:line="360" w:lineRule="auto"/>
        <w:jc w:val="both"/>
        <w:rPr>
          <w:rFonts w:ascii="Calibri" w:hAnsi="Calibri" w:cs="Calibri"/>
          <w:sz w:val="24"/>
          <w:szCs w:val="24"/>
        </w:rPr>
      </w:pP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is a digital-only challenger bank that has gained a reputation for transparency and user-centric design. Its mobile app offers granular control over user data permissions and spending categories. Key observations include</w:t>
      </w:r>
      <w:r w:rsidR="00244B69">
        <w:rPr>
          <w:rFonts w:ascii="Calibri" w:hAnsi="Calibri" w:cs="Calibri"/>
          <w:sz w:val="24"/>
          <w:szCs w:val="24"/>
        </w:rPr>
        <w:t xml:space="preserve"> -</w:t>
      </w:r>
    </w:p>
    <w:p w14:paraId="0B774A0C" w14:textId="176113E3" w:rsidR="002C048D" w:rsidRPr="0044638E" w:rsidRDefault="002C048D" w:rsidP="00244B69">
      <w:pPr>
        <w:pStyle w:val="NoSpacing"/>
        <w:numPr>
          <w:ilvl w:val="0"/>
          <w:numId w:val="39"/>
        </w:numPr>
        <w:spacing w:line="360" w:lineRule="auto"/>
        <w:jc w:val="both"/>
        <w:rPr>
          <w:rFonts w:ascii="Calibri" w:hAnsi="Calibri" w:cs="Calibri"/>
          <w:sz w:val="24"/>
          <w:szCs w:val="24"/>
        </w:rPr>
      </w:pPr>
      <w:r w:rsidRPr="0044638E">
        <w:rPr>
          <w:rStyle w:val="Strong"/>
          <w:rFonts w:ascii="Calibri" w:hAnsi="Calibri" w:cs="Calibri"/>
          <w:sz w:val="24"/>
          <w:szCs w:val="24"/>
        </w:rPr>
        <w:t>Infrastructure:</w:t>
      </w:r>
      <w:r w:rsidRPr="0044638E">
        <w:rPr>
          <w:rFonts w:ascii="Calibri" w:hAnsi="Calibri" w:cs="Calibri"/>
          <w:sz w:val="24"/>
          <w:szCs w:val="24"/>
        </w:rPr>
        <w:t xml:space="preserve">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uses AWS cloud services and incorporates microservices architecture for scalability. It claims to follow a "security by design" approach but has had past issues with PIN storage vulnerabilities (2019).</w:t>
      </w:r>
    </w:p>
    <w:p w14:paraId="7A605997" w14:textId="77777777" w:rsidR="002C048D" w:rsidRPr="0044638E" w:rsidRDefault="002C048D" w:rsidP="00244B69">
      <w:pPr>
        <w:pStyle w:val="NoSpacing"/>
        <w:numPr>
          <w:ilvl w:val="0"/>
          <w:numId w:val="39"/>
        </w:numPr>
        <w:spacing w:line="360" w:lineRule="auto"/>
        <w:jc w:val="both"/>
        <w:rPr>
          <w:rFonts w:ascii="Calibri" w:hAnsi="Calibri" w:cs="Calibri"/>
          <w:sz w:val="24"/>
          <w:szCs w:val="24"/>
        </w:rPr>
      </w:pPr>
      <w:r w:rsidRPr="0044638E">
        <w:rPr>
          <w:rStyle w:val="Strong"/>
          <w:rFonts w:ascii="Calibri" w:hAnsi="Calibri" w:cs="Calibri"/>
          <w:sz w:val="24"/>
          <w:szCs w:val="24"/>
        </w:rPr>
        <w:lastRenderedPageBreak/>
        <w:t>Privacy Policy:</w:t>
      </w:r>
      <w:r w:rsidRPr="0044638E">
        <w:rPr>
          <w:rFonts w:ascii="Calibri" w:hAnsi="Calibri" w:cs="Calibri"/>
          <w:sz w:val="24"/>
          <w:szCs w:val="24"/>
        </w:rPr>
        <w:t xml:space="preserve">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provides a clear, accessible privacy statement compliant with GDPR. It allows users to adjust tracking preferences and provides transparency over third-party data usage.</w:t>
      </w:r>
    </w:p>
    <w:p w14:paraId="5D59EEA3" w14:textId="221FBAF9" w:rsidR="002C048D" w:rsidRPr="0044638E" w:rsidRDefault="002C048D" w:rsidP="00244B69">
      <w:pPr>
        <w:pStyle w:val="NoSpacing"/>
        <w:numPr>
          <w:ilvl w:val="0"/>
          <w:numId w:val="39"/>
        </w:numPr>
        <w:spacing w:line="360" w:lineRule="auto"/>
        <w:jc w:val="both"/>
        <w:rPr>
          <w:rFonts w:ascii="Calibri" w:hAnsi="Calibri" w:cs="Calibri"/>
          <w:sz w:val="24"/>
          <w:szCs w:val="24"/>
        </w:rPr>
      </w:pPr>
      <w:r w:rsidRPr="0044638E">
        <w:rPr>
          <w:rStyle w:val="Strong"/>
          <w:rFonts w:ascii="Calibri" w:hAnsi="Calibri" w:cs="Calibri"/>
          <w:sz w:val="24"/>
          <w:szCs w:val="24"/>
        </w:rPr>
        <w:t>Cybersecurity</w:t>
      </w:r>
      <w:r w:rsidR="00244B69">
        <w:rPr>
          <w:rStyle w:val="Strong"/>
          <w:rFonts w:ascii="Calibri" w:hAnsi="Calibri" w:cs="Calibri"/>
          <w:sz w:val="24"/>
          <w:szCs w:val="24"/>
        </w:rPr>
        <w:t xml:space="preserve"> </w:t>
      </w:r>
      <w:r w:rsidRPr="0044638E">
        <w:rPr>
          <w:rStyle w:val="Strong"/>
          <w:rFonts w:ascii="Calibri" w:hAnsi="Calibri" w:cs="Calibri"/>
          <w:sz w:val="24"/>
          <w:szCs w:val="24"/>
        </w:rPr>
        <w:t>Measures:</w:t>
      </w:r>
      <w:r w:rsidRPr="0044638E">
        <w:rPr>
          <w:rFonts w:ascii="Calibri" w:hAnsi="Calibri" w:cs="Calibri"/>
          <w:sz w:val="24"/>
          <w:szCs w:val="24"/>
        </w:rPr>
        <w:t xml:space="preserve"> Implements two-factor authentication, transaction monitoring, and routine penetration testing. In 2020,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launched a public bug bounty program.</w:t>
      </w:r>
    </w:p>
    <w:p w14:paraId="5E24DBEC" w14:textId="365498EE" w:rsidR="002C048D" w:rsidRDefault="002C048D" w:rsidP="00244B69">
      <w:pPr>
        <w:pStyle w:val="NoSpacing"/>
        <w:numPr>
          <w:ilvl w:val="0"/>
          <w:numId w:val="39"/>
        </w:numPr>
        <w:spacing w:line="360" w:lineRule="auto"/>
        <w:jc w:val="both"/>
        <w:rPr>
          <w:rFonts w:ascii="Calibri" w:hAnsi="Calibri" w:cs="Calibri"/>
          <w:sz w:val="24"/>
          <w:szCs w:val="24"/>
        </w:rPr>
      </w:pPr>
      <w:r w:rsidRPr="0044638E">
        <w:rPr>
          <w:rStyle w:val="Strong"/>
          <w:rFonts w:ascii="Calibri" w:hAnsi="Calibri" w:cs="Calibri"/>
          <w:sz w:val="24"/>
          <w:szCs w:val="24"/>
        </w:rPr>
        <w:t>Regulatory Alignment:</w:t>
      </w:r>
      <w:r w:rsidRPr="0044638E">
        <w:rPr>
          <w:rFonts w:ascii="Calibri" w:hAnsi="Calibri" w:cs="Calibri"/>
          <w:sz w:val="24"/>
          <w:szCs w:val="24"/>
        </w:rPr>
        <w:t xml:space="preserve"> Works closely with the FCA and ICO.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was one of the first banks to trial Open Banking APIs in the UK.</w:t>
      </w:r>
    </w:p>
    <w:p w14:paraId="667BBE52" w14:textId="77777777" w:rsidR="00244B69" w:rsidRPr="0044638E" w:rsidRDefault="00244B69" w:rsidP="00244B69">
      <w:pPr>
        <w:pStyle w:val="NoSpacing"/>
        <w:spacing w:line="360" w:lineRule="auto"/>
        <w:jc w:val="both"/>
        <w:rPr>
          <w:rFonts w:ascii="Calibri" w:hAnsi="Calibri" w:cs="Calibri"/>
          <w:sz w:val="24"/>
          <w:szCs w:val="24"/>
        </w:rPr>
      </w:pPr>
    </w:p>
    <w:p w14:paraId="4715DE7A" w14:textId="77777777" w:rsidR="002C048D" w:rsidRPr="00244B69" w:rsidRDefault="002C048D" w:rsidP="0044638E">
      <w:pPr>
        <w:pStyle w:val="NoSpacing"/>
        <w:spacing w:line="360" w:lineRule="auto"/>
        <w:rPr>
          <w:rFonts w:ascii="Calibri" w:hAnsi="Calibri" w:cs="Calibri"/>
          <w:color w:val="1F497D" w:themeColor="text2"/>
          <w:sz w:val="24"/>
          <w:szCs w:val="24"/>
        </w:rPr>
      </w:pPr>
      <w:r w:rsidRPr="00244B69">
        <w:rPr>
          <w:rFonts w:ascii="Calibri" w:hAnsi="Calibri" w:cs="Calibri"/>
          <w:color w:val="1F497D" w:themeColor="text2"/>
          <w:sz w:val="24"/>
          <w:szCs w:val="24"/>
        </w:rPr>
        <w:t xml:space="preserve">5.2 </w:t>
      </w:r>
      <w:proofErr w:type="spellStart"/>
      <w:r w:rsidRPr="00244B69">
        <w:rPr>
          <w:rFonts w:ascii="Calibri" w:hAnsi="Calibri" w:cs="Calibri"/>
          <w:color w:val="1F497D" w:themeColor="text2"/>
          <w:sz w:val="24"/>
          <w:szCs w:val="24"/>
        </w:rPr>
        <w:t>Revolut</w:t>
      </w:r>
      <w:proofErr w:type="spellEnd"/>
    </w:p>
    <w:p w14:paraId="2D04BDD2" w14:textId="77777777" w:rsidR="002C048D" w:rsidRPr="0044638E" w:rsidRDefault="002C048D" w:rsidP="00244B69">
      <w:pPr>
        <w:pStyle w:val="NoSpacing"/>
        <w:spacing w:line="360" w:lineRule="auto"/>
        <w:jc w:val="both"/>
        <w:rPr>
          <w:rFonts w:ascii="Calibri" w:hAnsi="Calibri" w:cs="Calibri"/>
          <w:sz w:val="24"/>
          <w:szCs w:val="24"/>
        </w:rPr>
      </w:pP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is a global financial super-app offering services from currency exchange to crypto trading. Operating in a high-growth environment, it has faced multiple scrutiny events.</w:t>
      </w:r>
    </w:p>
    <w:p w14:paraId="29F2F06A" w14:textId="77777777" w:rsidR="002C048D" w:rsidRPr="0044638E" w:rsidRDefault="002C048D" w:rsidP="002B166C">
      <w:pPr>
        <w:pStyle w:val="NoSpacing"/>
        <w:numPr>
          <w:ilvl w:val="0"/>
          <w:numId w:val="40"/>
        </w:numPr>
        <w:spacing w:line="360" w:lineRule="auto"/>
        <w:rPr>
          <w:rFonts w:ascii="Calibri" w:hAnsi="Calibri" w:cs="Calibri"/>
          <w:sz w:val="24"/>
          <w:szCs w:val="24"/>
        </w:rPr>
      </w:pPr>
      <w:r w:rsidRPr="0044638E">
        <w:rPr>
          <w:rStyle w:val="Strong"/>
          <w:rFonts w:ascii="Calibri" w:hAnsi="Calibri" w:cs="Calibri"/>
          <w:sz w:val="24"/>
          <w:szCs w:val="24"/>
        </w:rPr>
        <w:t>Infrastructure:</w:t>
      </w:r>
      <w:r w:rsidRPr="0044638E">
        <w:rPr>
          <w:rFonts w:ascii="Calibri" w:hAnsi="Calibri" w:cs="Calibri"/>
          <w:sz w:val="24"/>
          <w:szCs w:val="24"/>
        </w:rPr>
        <w:t xml:space="preserve"> Operates via a cloud-native infrastructure and multiple regional data centres. Uses third-party analytics services extensively.</w:t>
      </w:r>
    </w:p>
    <w:p w14:paraId="67FDE527" w14:textId="77777777" w:rsidR="002C048D" w:rsidRPr="0044638E" w:rsidRDefault="002C048D" w:rsidP="002B166C">
      <w:pPr>
        <w:pStyle w:val="NoSpacing"/>
        <w:numPr>
          <w:ilvl w:val="0"/>
          <w:numId w:val="40"/>
        </w:numPr>
        <w:spacing w:line="360" w:lineRule="auto"/>
        <w:rPr>
          <w:rFonts w:ascii="Calibri" w:hAnsi="Calibri" w:cs="Calibri"/>
          <w:sz w:val="24"/>
          <w:szCs w:val="24"/>
        </w:rPr>
      </w:pPr>
      <w:r w:rsidRPr="0044638E">
        <w:rPr>
          <w:rStyle w:val="Strong"/>
          <w:rFonts w:ascii="Calibri" w:hAnsi="Calibri" w:cs="Calibri"/>
          <w:sz w:val="24"/>
          <w:szCs w:val="24"/>
        </w:rPr>
        <w:t>Privacy Policy:</w:t>
      </w:r>
      <w:r w:rsidRPr="0044638E">
        <w:rPr>
          <w:rFonts w:ascii="Calibri" w:hAnsi="Calibri" w:cs="Calibri"/>
          <w:sz w:val="24"/>
          <w:szCs w:val="24"/>
        </w:rPr>
        <w:t xml:space="preserve"> Less transparent than peers. The 2022 breach, which exposed data of over 50,000 customers, raised concerns about internal data access protocols.</w:t>
      </w:r>
    </w:p>
    <w:p w14:paraId="124CF06C" w14:textId="77777777" w:rsidR="002C048D" w:rsidRPr="0044638E" w:rsidRDefault="002C048D" w:rsidP="002B166C">
      <w:pPr>
        <w:pStyle w:val="NoSpacing"/>
        <w:numPr>
          <w:ilvl w:val="0"/>
          <w:numId w:val="40"/>
        </w:numPr>
        <w:spacing w:line="360" w:lineRule="auto"/>
        <w:rPr>
          <w:rFonts w:ascii="Calibri" w:hAnsi="Calibri" w:cs="Calibri"/>
          <w:sz w:val="24"/>
          <w:szCs w:val="24"/>
        </w:rPr>
      </w:pPr>
      <w:r w:rsidRPr="0044638E">
        <w:rPr>
          <w:rStyle w:val="Strong"/>
          <w:rFonts w:ascii="Calibri" w:hAnsi="Calibri" w:cs="Calibri"/>
          <w:sz w:val="24"/>
          <w:szCs w:val="24"/>
        </w:rPr>
        <w:t>Cybersecurity Measures:</w:t>
      </w:r>
      <w:r w:rsidRPr="0044638E">
        <w:rPr>
          <w:rFonts w:ascii="Calibri" w:hAnsi="Calibri" w:cs="Calibri"/>
          <w:sz w:val="24"/>
          <w:szCs w:val="24"/>
        </w:rPr>
        <w:t xml:space="preserve">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employs end-to-end encryption, biometric logins, and behavioural analytics. However, its rapid scaling has outpaced its internal compliance capacity.</w:t>
      </w:r>
    </w:p>
    <w:p w14:paraId="2CB01E40" w14:textId="39F287F2" w:rsidR="002C048D" w:rsidRDefault="002C048D" w:rsidP="002B166C">
      <w:pPr>
        <w:pStyle w:val="NoSpacing"/>
        <w:numPr>
          <w:ilvl w:val="0"/>
          <w:numId w:val="40"/>
        </w:numPr>
        <w:spacing w:line="360" w:lineRule="auto"/>
        <w:rPr>
          <w:rFonts w:ascii="Calibri" w:hAnsi="Calibri" w:cs="Calibri"/>
          <w:sz w:val="24"/>
          <w:szCs w:val="24"/>
        </w:rPr>
      </w:pPr>
      <w:r w:rsidRPr="0044638E">
        <w:rPr>
          <w:rStyle w:val="Strong"/>
          <w:rFonts w:ascii="Calibri" w:hAnsi="Calibri" w:cs="Calibri"/>
          <w:sz w:val="24"/>
          <w:szCs w:val="24"/>
        </w:rPr>
        <w:t>Regulatory Alignment:</w:t>
      </w:r>
      <w:r w:rsidRPr="0044638E">
        <w:rPr>
          <w:rFonts w:ascii="Calibri" w:hAnsi="Calibri" w:cs="Calibri"/>
          <w:sz w:val="24"/>
          <w:szCs w:val="24"/>
        </w:rPr>
        <w:t xml:space="preserve"> Recently received a full banking licence in the EU but is still pending equivalent UK authorisation. Subject to multiple FCA reviews.</w:t>
      </w:r>
    </w:p>
    <w:p w14:paraId="285627B5" w14:textId="77777777" w:rsidR="002B166C" w:rsidRPr="0044638E" w:rsidRDefault="002B166C" w:rsidP="002B166C">
      <w:pPr>
        <w:pStyle w:val="NoSpacing"/>
        <w:spacing w:line="360" w:lineRule="auto"/>
        <w:ind w:left="720"/>
        <w:rPr>
          <w:rFonts w:ascii="Calibri" w:hAnsi="Calibri" w:cs="Calibri"/>
          <w:sz w:val="24"/>
          <w:szCs w:val="24"/>
        </w:rPr>
      </w:pPr>
    </w:p>
    <w:p w14:paraId="7B854DDF"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5.3 Starling Bank</w:t>
      </w:r>
    </w:p>
    <w:p w14:paraId="44094EEF"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Starling Bank has consistently been recognised for its operational resilience and risk-aware innovation. It targets SMEs and personal banking segments.</w:t>
      </w:r>
    </w:p>
    <w:p w14:paraId="34260875" w14:textId="77777777" w:rsidR="002C048D" w:rsidRPr="0044638E" w:rsidRDefault="002C048D" w:rsidP="002B166C">
      <w:pPr>
        <w:pStyle w:val="NoSpacing"/>
        <w:numPr>
          <w:ilvl w:val="0"/>
          <w:numId w:val="41"/>
        </w:numPr>
        <w:spacing w:line="360" w:lineRule="auto"/>
        <w:rPr>
          <w:rFonts w:ascii="Calibri" w:hAnsi="Calibri" w:cs="Calibri"/>
          <w:sz w:val="24"/>
          <w:szCs w:val="24"/>
        </w:rPr>
      </w:pPr>
      <w:r w:rsidRPr="0044638E">
        <w:rPr>
          <w:rStyle w:val="Strong"/>
          <w:rFonts w:ascii="Calibri" w:hAnsi="Calibri" w:cs="Calibri"/>
          <w:sz w:val="24"/>
          <w:szCs w:val="24"/>
        </w:rPr>
        <w:t>Infrastructure:</w:t>
      </w:r>
      <w:r w:rsidRPr="0044638E">
        <w:rPr>
          <w:rFonts w:ascii="Calibri" w:hAnsi="Calibri" w:cs="Calibri"/>
          <w:sz w:val="24"/>
          <w:szCs w:val="24"/>
        </w:rPr>
        <w:t xml:space="preserve"> Maintains ISO/IEC 27001 certification and uses in-house engineers to maintain critical systems.</w:t>
      </w:r>
    </w:p>
    <w:p w14:paraId="321F3DFB" w14:textId="77777777" w:rsidR="002C048D" w:rsidRPr="0044638E" w:rsidRDefault="002C048D" w:rsidP="002B166C">
      <w:pPr>
        <w:pStyle w:val="NoSpacing"/>
        <w:numPr>
          <w:ilvl w:val="0"/>
          <w:numId w:val="41"/>
        </w:numPr>
        <w:spacing w:line="360" w:lineRule="auto"/>
        <w:rPr>
          <w:rFonts w:ascii="Calibri" w:hAnsi="Calibri" w:cs="Calibri"/>
          <w:sz w:val="24"/>
          <w:szCs w:val="24"/>
        </w:rPr>
      </w:pPr>
      <w:r w:rsidRPr="0044638E">
        <w:rPr>
          <w:rStyle w:val="Strong"/>
          <w:rFonts w:ascii="Calibri" w:hAnsi="Calibri" w:cs="Calibri"/>
          <w:sz w:val="24"/>
          <w:szCs w:val="24"/>
        </w:rPr>
        <w:lastRenderedPageBreak/>
        <w:t>Privacy Policy:</w:t>
      </w:r>
      <w:r w:rsidRPr="0044638E">
        <w:rPr>
          <w:rFonts w:ascii="Calibri" w:hAnsi="Calibri" w:cs="Calibri"/>
          <w:sz w:val="24"/>
          <w:szCs w:val="24"/>
        </w:rPr>
        <w:t xml:space="preserve"> Clear and updated regularly. Provides customers with full visibility of data use and consent settings.</w:t>
      </w:r>
    </w:p>
    <w:p w14:paraId="739998FA" w14:textId="77777777" w:rsidR="002C048D" w:rsidRPr="0044638E" w:rsidRDefault="002C048D" w:rsidP="002B166C">
      <w:pPr>
        <w:pStyle w:val="NoSpacing"/>
        <w:numPr>
          <w:ilvl w:val="0"/>
          <w:numId w:val="41"/>
        </w:numPr>
        <w:spacing w:line="360" w:lineRule="auto"/>
        <w:rPr>
          <w:rFonts w:ascii="Calibri" w:hAnsi="Calibri" w:cs="Calibri"/>
          <w:sz w:val="24"/>
          <w:szCs w:val="24"/>
        </w:rPr>
      </w:pPr>
      <w:r w:rsidRPr="0044638E">
        <w:rPr>
          <w:rStyle w:val="Strong"/>
          <w:rFonts w:ascii="Calibri" w:hAnsi="Calibri" w:cs="Calibri"/>
          <w:sz w:val="24"/>
          <w:szCs w:val="24"/>
        </w:rPr>
        <w:t>Cybersecurity Measures:</w:t>
      </w:r>
      <w:r w:rsidRPr="0044638E">
        <w:rPr>
          <w:rFonts w:ascii="Calibri" w:hAnsi="Calibri" w:cs="Calibri"/>
          <w:sz w:val="24"/>
          <w:szCs w:val="24"/>
        </w:rPr>
        <w:t xml:space="preserve"> Implements strict access control, device management, and zero-trust architecture. Publishes transparency updates on attempted breaches.</w:t>
      </w:r>
    </w:p>
    <w:p w14:paraId="668EA402" w14:textId="39A3C2FE" w:rsidR="002C048D" w:rsidRDefault="002C048D" w:rsidP="002B166C">
      <w:pPr>
        <w:pStyle w:val="NoSpacing"/>
        <w:numPr>
          <w:ilvl w:val="0"/>
          <w:numId w:val="41"/>
        </w:numPr>
        <w:spacing w:line="360" w:lineRule="auto"/>
        <w:rPr>
          <w:rFonts w:ascii="Calibri" w:hAnsi="Calibri" w:cs="Calibri"/>
          <w:sz w:val="24"/>
          <w:szCs w:val="24"/>
        </w:rPr>
      </w:pPr>
      <w:r w:rsidRPr="0044638E">
        <w:rPr>
          <w:rStyle w:val="Strong"/>
          <w:rFonts w:ascii="Calibri" w:hAnsi="Calibri" w:cs="Calibri"/>
          <w:sz w:val="24"/>
          <w:szCs w:val="24"/>
        </w:rPr>
        <w:t>Regulatory Alignment:</w:t>
      </w:r>
      <w:r w:rsidRPr="0044638E">
        <w:rPr>
          <w:rFonts w:ascii="Calibri" w:hAnsi="Calibri" w:cs="Calibri"/>
          <w:sz w:val="24"/>
          <w:szCs w:val="24"/>
        </w:rPr>
        <w:t xml:space="preserve"> Strong relationship with UK regulators. Invited to multiple FCA innovation initiatives.</w:t>
      </w:r>
    </w:p>
    <w:p w14:paraId="5A7C50EE" w14:textId="77777777" w:rsidR="002B166C" w:rsidRPr="0044638E" w:rsidRDefault="002B166C" w:rsidP="002B166C">
      <w:pPr>
        <w:pStyle w:val="NoSpacing"/>
        <w:spacing w:line="360" w:lineRule="auto"/>
        <w:ind w:left="720"/>
        <w:rPr>
          <w:rFonts w:ascii="Calibri" w:hAnsi="Calibri" w:cs="Calibri"/>
          <w:sz w:val="24"/>
          <w:szCs w:val="24"/>
        </w:rPr>
      </w:pPr>
    </w:p>
    <w:p w14:paraId="0936BDDE"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 xml:space="preserve">5.4 </w:t>
      </w:r>
      <w:proofErr w:type="spellStart"/>
      <w:r w:rsidRPr="002B166C">
        <w:rPr>
          <w:rFonts w:ascii="Calibri" w:hAnsi="Calibri" w:cs="Calibri"/>
          <w:color w:val="1F497D" w:themeColor="text2"/>
          <w:sz w:val="24"/>
          <w:szCs w:val="24"/>
        </w:rPr>
        <w:t>Zopa</w:t>
      </w:r>
      <w:proofErr w:type="spellEnd"/>
    </w:p>
    <w:p w14:paraId="141E98A9"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 xml:space="preserve">Originally a peer-to-peer platform, </w:t>
      </w:r>
      <w:proofErr w:type="spellStart"/>
      <w:r w:rsidRPr="0044638E">
        <w:rPr>
          <w:rFonts w:ascii="Calibri" w:hAnsi="Calibri" w:cs="Calibri"/>
          <w:sz w:val="24"/>
          <w:szCs w:val="24"/>
        </w:rPr>
        <w:t>Zopa</w:t>
      </w:r>
      <w:proofErr w:type="spellEnd"/>
      <w:r w:rsidRPr="0044638E">
        <w:rPr>
          <w:rFonts w:ascii="Calibri" w:hAnsi="Calibri" w:cs="Calibri"/>
          <w:sz w:val="24"/>
          <w:szCs w:val="24"/>
        </w:rPr>
        <w:t xml:space="preserve"> acquired a banking licence in 2020. It now offers savings accounts and personal loans.</w:t>
      </w:r>
    </w:p>
    <w:p w14:paraId="74D348E8" w14:textId="77777777" w:rsidR="002C048D" w:rsidRPr="0044638E" w:rsidRDefault="002C048D" w:rsidP="002B166C">
      <w:pPr>
        <w:pStyle w:val="NoSpacing"/>
        <w:numPr>
          <w:ilvl w:val="0"/>
          <w:numId w:val="42"/>
        </w:numPr>
        <w:spacing w:line="360" w:lineRule="auto"/>
        <w:rPr>
          <w:rFonts w:ascii="Calibri" w:hAnsi="Calibri" w:cs="Calibri"/>
          <w:sz w:val="24"/>
          <w:szCs w:val="24"/>
        </w:rPr>
      </w:pPr>
      <w:r w:rsidRPr="0044638E">
        <w:rPr>
          <w:rStyle w:val="Strong"/>
          <w:rFonts w:ascii="Calibri" w:hAnsi="Calibri" w:cs="Calibri"/>
          <w:sz w:val="24"/>
          <w:szCs w:val="24"/>
        </w:rPr>
        <w:t>Infrastructure:</w:t>
      </w:r>
      <w:r w:rsidRPr="0044638E">
        <w:rPr>
          <w:rFonts w:ascii="Calibri" w:hAnsi="Calibri" w:cs="Calibri"/>
          <w:sz w:val="24"/>
          <w:szCs w:val="24"/>
        </w:rPr>
        <w:t xml:space="preserve"> Uses a hybrid model (cloud and on-premise). Data governance evolved significantly post-bank conversion.</w:t>
      </w:r>
    </w:p>
    <w:p w14:paraId="68A0F15A" w14:textId="77777777" w:rsidR="002C048D" w:rsidRPr="0044638E" w:rsidRDefault="002C048D" w:rsidP="002B166C">
      <w:pPr>
        <w:pStyle w:val="NoSpacing"/>
        <w:numPr>
          <w:ilvl w:val="0"/>
          <w:numId w:val="42"/>
        </w:numPr>
        <w:spacing w:line="360" w:lineRule="auto"/>
        <w:rPr>
          <w:rFonts w:ascii="Calibri" w:hAnsi="Calibri" w:cs="Calibri"/>
          <w:sz w:val="24"/>
          <w:szCs w:val="24"/>
        </w:rPr>
      </w:pPr>
      <w:r w:rsidRPr="0044638E">
        <w:rPr>
          <w:rStyle w:val="Strong"/>
          <w:rFonts w:ascii="Calibri" w:hAnsi="Calibri" w:cs="Calibri"/>
          <w:sz w:val="24"/>
          <w:szCs w:val="24"/>
        </w:rPr>
        <w:t>Privacy Policy:</w:t>
      </w:r>
      <w:r w:rsidRPr="0044638E">
        <w:rPr>
          <w:rFonts w:ascii="Calibri" w:hAnsi="Calibri" w:cs="Calibri"/>
          <w:sz w:val="24"/>
          <w:szCs w:val="24"/>
        </w:rPr>
        <w:t xml:space="preserve"> More sophisticated post-licensing. Highlights consent-driven data access and use of machine learning in credit scoring.</w:t>
      </w:r>
    </w:p>
    <w:p w14:paraId="0157FA51" w14:textId="77777777" w:rsidR="002C048D" w:rsidRPr="0044638E" w:rsidRDefault="002C048D" w:rsidP="002B166C">
      <w:pPr>
        <w:pStyle w:val="NoSpacing"/>
        <w:numPr>
          <w:ilvl w:val="0"/>
          <w:numId w:val="42"/>
        </w:numPr>
        <w:spacing w:line="360" w:lineRule="auto"/>
        <w:rPr>
          <w:rFonts w:ascii="Calibri" w:hAnsi="Calibri" w:cs="Calibri"/>
          <w:sz w:val="24"/>
          <w:szCs w:val="24"/>
        </w:rPr>
      </w:pPr>
      <w:r w:rsidRPr="0044638E">
        <w:rPr>
          <w:rStyle w:val="Strong"/>
          <w:rFonts w:ascii="Calibri" w:hAnsi="Calibri" w:cs="Calibri"/>
          <w:sz w:val="24"/>
          <w:szCs w:val="24"/>
        </w:rPr>
        <w:t>Cybersecurity Measures:</w:t>
      </w:r>
      <w:r w:rsidRPr="0044638E">
        <w:rPr>
          <w:rFonts w:ascii="Calibri" w:hAnsi="Calibri" w:cs="Calibri"/>
          <w:sz w:val="24"/>
          <w:szCs w:val="24"/>
        </w:rPr>
        <w:t xml:space="preserve"> Invested in a fraud detection engine and automated risk alerts. Response time to security incidents has been benchmarked positively.</w:t>
      </w:r>
    </w:p>
    <w:p w14:paraId="272AA921" w14:textId="6CC371B1" w:rsidR="002C048D" w:rsidRDefault="002C048D" w:rsidP="002B166C">
      <w:pPr>
        <w:pStyle w:val="NoSpacing"/>
        <w:numPr>
          <w:ilvl w:val="0"/>
          <w:numId w:val="42"/>
        </w:numPr>
        <w:spacing w:line="360" w:lineRule="auto"/>
        <w:rPr>
          <w:rFonts w:ascii="Calibri" w:hAnsi="Calibri" w:cs="Calibri"/>
          <w:sz w:val="24"/>
          <w:szCs w:val="24"/>
        </w:rPr>
      </w:pPr>
      <w:r w:rsidRPr="0044638E">
        <w:rPr>
          <w:rStyle w:val="Strong"/>
          <w:rFonts w:ascii="Calibri" w:hAnsi="Calibri" w:cs="Calibri"/>
          <w:sz w:val="24"/>
          <w:szCs w:val="24"/>
        </w:rPr>
        <w:t>Regulatory Alignment:</w:t>
      </w:r>
      <w:r w:rsidRPr="0044638E">
        <w:rPr>
          <w:rFonts w:ascii="Calibri" w:hAnsi="Calibri" w:cs="Calibri"/>
          <w:sz w:val="24"/>
          <w:szCs w:val="24"/>
        </w:rPr>
        <w:t xml:space="preserve"> Submits regular operational risk updates to the FCA and PRA. Strong board-level governance structures.</w:t>
      </w:r>
    </w:p>
    <w:p w14:paraId="20ED87BE" w14:textId="77777777" w:rsidR="002B166C" w:rsidRPr="0044638E" w:rsidRDefault="002B166C" w:rsidP="002B166C">
      <w:pPr>
        <w:pStyle w:val="NoSpacing"/>
        <w:spacing w:line="360" w:lineRule="auto"/>
        <w:rPr>
          <w:rFonts w:ascii="Calibri" w:hAnsi="Calibri" w:cs="Calibri"/>
          <w:sz w:val="24"/>
          <w:szCs w:val="24"/>
        </w:rPr>
      </w:pPr>
    </w:p>
    <w:p w14:paraId="2AA71734"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5.5 Cross-Case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3"/>
        <w:gridCol w:w="772"/>
        <w:gridCol w:w="1056"/>
        <w:gridCol w:w="841"/>
        <w:gridCol w:w="1071"/>
      </w:tblGrid>
      <w:tr w:rsidR="002C048D" w:rsidRPr="0044638E" w14:paraId="39359E84" w14:textId="77777777" w:rsidTr="002B166C">
        <w:trPr>
          <w:tblHeader/>
          <w:tblCellSpacing w:w="15" w:type="dxa"/>
        </w:trPr>
        <w:tc>
          <w:tcPr>
            <w:tcW w:w="0" w:type="auto"/>
            <w:vAlign w:val="center"/>
            <w:hideMark/>
          </w:tcPr>
          <w:p w14:paraId="6731FE6B"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Dimension</w:t>
            </w:r>
          </w:p>
        </w:tc>
        <w:tc>
          <w:tcPr>
            <w:tcW w:w="0" w:type="auto"/>
            <w:vAlign w:val="center"/>
            <w:hideMark/>
          </w:tcPr>
          <w:p w14:paraId="03FA2CDF" w14:textId="77777777" w:rsidR="002C048D" w:rsidRPr="0044638E" w:rsidRDefault="002C048D" w:rsidP="0044638E">
            <w:pPr>
              <w:pStyle w:val="NoSpacing"/>
              <w:spacing w:line="360" w:lineRule="auto"/>
              <w:rPr>
                <w:rFonts w:ascii="Calibri" w:hAnsi="Calibri" w:cs="Calibri"/>
                <w:b/>
                <w:bCs/>
                <w:sz w:val="24"/>
                <w:szCs w:val="24"/>
              </w:rPr>
            </w:pPr>
            <w:proofErr w:type="spellStart"/>
            <w:r w:rsidRPr="0044638E">
              <w:rPr>
                <w:rFonts w:ascii="Calibri" w:hAnsi="Calibri" w:cs="Calibri"/>
                <w:b/>
                <w:bCs/>
                <w:sz w:val="24"/>
                <w:szCs w:val="24"/>
              </w:rPr>
              <w:t>Monzo</w:t>
            </w:r>
            <w:proofErr w:type="spellEnd"/>
          </w:p>
        </w:tc>
        <w:tc>
          <w:tcPr>
            <w:tcW w:w="0" w:type="auto"/>
            <w:vAlign w:val="center"/>
            <w:hideMark/>
          </w:tcPr>
          <w:p w14:paraId="2F9828A6" w14:textId="77777777" w:rsidR="002C048D" w:rsidRPr="0044638E" w:rsidRDefault="002C048D" w:rsidP="0044638E">
            <w:pPr>
              <w:pStyle w:val="NoSpacing"/>
              <w:spacing w:line="360" w:lineRule="auto"/>
              <w:rPr>
                <w:rFonts w:ascii="Calibri" w:hAnsi="Calibri" w:cs="Calibri"/>
                <w:b/>
                <w:bCs/>
                <w:sz w:val="24"/>
                <w:szCs w:val="24"/>
              </w:rPr>
            </w:pPr>
            <w:proofErr w:type="spellStart"/>
            <w:r w:rsidRPr="0044638E">
              <w:rPr>
                <w:rFonts w:ascii="Calibri" w:hAnsi="Calibri" w:cs="Calibri"/>
                <w:b/>
                <w:bCs/>
                <w:sz w:val="24"/>
                <w:szCs w:val="24"/>
              </w:rPr>
              <w:t>Revolut</w:t>
            </w:r>
            <w:proofErr w:type="spellEnd"/>
          </w:p>
        </w:tc>
        <w:tc>
          <w:tcPr>
            <w:tcW w:w="0" w:type="auto"/>
            <w:vAlign w:val="center"/>
            <w:hideMark/>
          </w:tcPr>
          <w:p w14:paraId="7B5C46A3" w14:textId="77777777" w:rsidR="002C048D" w:rsidRPr="0044638E" w:rsidRDefault="002C048D" w:rsidP="0044638E">
            <w:pPr>
              <w:pStyle w:val="NoSpacing"/>
              <w:spacing w:line="360" w:lineRule="auto"/>
              <w:rPr>
                <w:rFonts w:ascii="Calibri" w:hAnsi="Calibri" w:cs="Calibri"/>
                <w:b/>
                <w:bCs/>
                <w:sz w:val="24"/>
                <w:szCs w:val="24"/>
              </w:rPr>
            </w:pPr>
            <w:r w:rsidRPr="0044638E">
              <w:rPr>
                <w:rFonts w:ascii="Calibri" w:hAnsi="Calibri" w:cs="Calibri"/>
                <w:b/>
                <w:bCs/>
                <w:sz w:val="24"/>
                <w:szCs w:val="24"/>
              </w:rPr>
              <w:t>Starling</w:t>
            </w:r>
          </w:p>
        </w:tc>
        <w:tc>
          <w:tcPr>
            <w:tcW w:w="0" w:type="auto"/>
            <w:vAlign w:val="center"/>
            <w:hideMark/>
          </w:tcPr>
          <w:p w14:paraId="1E0ECF5B" w14:textId="77777777" w:rsidR="002C048D" w:rsidRPr="0044638E" w:rsidRDefault="002C048D" w:rsidP="0044638E">
            <w:pPr>
              <w:pStyle w:val="NoSpacing"/>
              <w:spacing w:line="360" w:lineRule="auto"/>
              <w:rPr>
                <w:rFonts w:ascii="Calibri" w:hAnsi="Calibri" w:cs="Calibri"/>
                <w:b/>
                <w:bCs/>
                <w:sz w:val="24"/>
                <w:szCs w:val="24"/>
              </w:rPr>
            </w:pPr>
            <w:proofErr w:type="spellStart"/>
            <w:r w:rsidRPr="0044638E">
              <w:rPr>
                <w:rFonts w:ascii="Calibri" w:hAnsi="Calibri" w:cs="Calibri"/>
                <w:b/>
                <w:bCs/>
                <w:sz w:val="24"/>
                <w:szCs w:val="24"/>
              </w:rPr>
              <w:t>Zopa</w:t>
            </w:r>
            <w:proofErr w:type="spellEnd"/>
          </w:p>
        </w:tc>
      </w:tr>
      <w:tr w:rsidR="002C048D" w:rsidRPr="0044638E" w14:paraId="00ABF207" w14:textId="77777777" w:rsidTr="002B166C">
        <w:trPr>
          <w:tblCellSpacing w:w="15" w:type="dxa"/>
        </w:trPr>
        <w:tc>
          <w:tcPr>
            <w:tcW w:w="0" w:type="auto"/>
            <w:vAlign w:val="center"/>
            <w:hideMark/>
          </w:tcPr>
          <w:p w14:paraId="590EFA3B"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ISO 27001 Compliance</w:t>
            </w:r>
          </w:p>
        </w:tc>
        <w:tc>
          <w:tcPr>
            <w:tcW w:w="0" w:type="auto"/>
            <w:vAlign w:val="center"/>
            <w:hideMark/>
          </w:tcPr>
          <w:p w14:paraId="2EA27FD4"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Partial</w:t>
            </w:r>
          </w:p>
        </w:tc>
        <w:tc>
          <w:tcPr>
            <w:tcW w:w="0" w:type="auto"/>
            <w:vAlign w:val="center"/>
            <w:hideMark/>
          </w:tcPr>
          <w:p w14:paraId="2B0EAC0D"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No</w:t>
            </w:r>
          </w:p>
        </w:tc>
        <w:tc>
          <w:tcPr>
            <w:tcW w:w="0" w:type="auto"/>
            <w:vAlign w:val="center"/>
            <w:hideMark/>
          </w:tcPr>
          <w:p w14:paraId="6CEB45DD"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Yes</w:t>
            </w:r>
          </w:p>
        </w:tc>
        <w:tc>
          <w:tcPr>
            <w:tcW w:w="0" w:type="auto"/>
            <w:vAlign w:val="center"/>
            <w:hideMark/>
          </w:tcPr>
          <w:p w14:paraId="18E412A5"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Partial</w:t>
            </w:r>
          </w:p>
        </w:tc>
      </w:tr>
      <w:tr w:rsidR="002C048D" w:rsidRPr="0044638E" w14:paraId="0D486F7E" w14:textId="77777777" w:rsidTr="002B166C">
        <w:trPr>
          <w:tblCellSpacing w:w="15" w:type="dxa"/>
        </w:trPr>
        <w:tc>
          <w:tcPr>
            <w:tcW w:w="0" w:type="auto"/>
            <w:vAlign w:val="center"/>
            <w:hideMark/>
          </w:tcPr>
          <w:p w14:paraId="5F709EDA"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Incident Disclosure</w:t>
            </w:r>
          </w:p>
        </w:tc>
        <w:tc>
          <w:tcPr>
            <w:tcW w:w="0" w:type="auto"/>
            <w:vAlign w:val="center"/>
            <w:hideMark/>
          </w:tcPr>
          <w:p w14:paraId="7E8B06C1"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High</w:t>
            </w:r>
          </w:p>
        </w:tc>
        <w:tc>
          <w:tcPr>
            <w:tcW w:w="0" w:type="auto"/>
            <w:vAlign w:val="center"/>
            <w:hideMark/>
          </w:tcPr>
          <w:p w14:paraId="368F258E"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Low</w:t>
            </w:r>
          </w:p>
        </w:tc>
        <w:tc>
          <w:tcPr>
            <w:tcW w:w="0" w:type="auto"/>
            <w:vAlign w:val="center"/>
            <w:hideMark/>
          </w:tcPr>
          <w:p w14:paraId="2CA093C6"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High</w:t>
            </w:r>
          </w:p>
        </w:tc>
        <w:tc>
          <w:tcPr>
            <w:tcW w:w="0" w:type="auto"/>
            <w:vAlign w:val="center"/>
            <w:hideMark/>
          </w:tcPr>
          <w:p w14:paraId="2751EEF2"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Medium</w:t>
            </w:r>
          </w:p>
        </w:tc>
      </w:tr>
      <w:tr w:rsidR="002C048D" w:rsidRPr="0044638E" w14:paraId="4BFFFB56" w14:textId="77777777" w:rsidTr="002B166C">
        <w:trPr>
          <w:tblCellSpacing w:w="15" w:type="dxa"/>
        </w:trPr>
        <w:tc>
          <w:tcPr>
            <w:tcW w:w="0" w:type="auto"/>
            <w:vAlign w:val="center"/>
            <w:hideMark/>
          </w:tcPr>
          <w:p w14:paraId="2EE9E361"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Consent Management</w:t>
            </w:r>
          </w:p>
        </w:tc>
        <w:tc>
          <w:tcPr>
            <w:tcW w:w="0" w:type="auto"/>
            <w:vAlign w:val="center"/>
            <w:hideMark/>
          </w:tcPr>
          <w:p w14:paraId="5DC4D954"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Strong</w:t>
            </w:r>
          </w:p>
        </w:tc>
        <w:tc>
          <w:tcPr>
            <w:tcW w:w="0" w:type="auto"/>
            <w:vAlign w:val="center"/>
            <w:hideMark/>
          </w:tcPr>
          <w:p w14:paraId="63D2443B"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Moderate</w:t>
            </w:r>
          </w:p>
        </w:tc>
        <w:tc>
          <w:tcPr>
            <w:tcW w:w="0" w:type="auto"/>
            <w:vAlign w:val="center"/>
            <w:hideMark/>
          </w:tcPr>
          <w:p w14:paraId="149067AC"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Strong</w:t>
            </w:r>
          </w:p>
        </w:tc>
        <w:tc>
          <w:tcPr>
            <w:tcW w:w="0" w:type="auto"/>
            <w:vAlign w:val="center"/>
            <w:hideMark/>
          </w:tcPr>
          <w:p w14:paraId="02E5FBF8"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Strong</w:t>
            </w:r>
          </w:p>
        </w:tc>
      </w:tr>
      <w:tr w:rsidR="002C048D" w:rsidRPr="0044638E" w14:paraId="60228542" w14:textId="77777777" w:rsidTr="002B166C">
        <w:trPr>
          <w:tblCellSpacing w:w="15" w:type="dxa"/>
        </w:trPr>
        <w:tc>
          <w:tcPr>
            <w:tcW w:w="0" w:type="auto"/>
            <w:vAlign w:val="center"/>
            <w:hideMark/>
          </w:tcPr>
          <w:p w14:paraId="3659EC76"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Regulator Cooperation</w:t>
            </w:r>
          </w:p>
        </w:tc>
        <w:tc>
          <w:tcPr>
            <w:tcW w:w="0" w:type="auto"/>
            <w:vAlign w:val="center"/>
            <w:hideMark/>
          </w:tcPr>
          <w:p w14:paraId="32D129A9"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High</w:t>
            </w:r>
          </w:p>
        </w:tc>
        <w:tc>
          <w:tcPr>
            <w:tcW w:w="0" w:type="auto"/>
            <w:vAlign w:val="center"/>
            <w:hideMark/>
          </w:tcPr>
          <w:p w14:paraId="1D37F41D"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Moderate</w:t>
            </w:r>
          </w:p>
        </w:tc>
        <w:tc>
          <w:tcPr>
            <w:tcW w:w="0" w:type="auto"/>
            <w:vAlign w:val="center"/>
            <w:hideMark/>
          </w:tcPr>
          <w:p w14:paraId="069CCD76"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High</w:t>
            </w:r>
          </w:p>
        </w:tc>
        <w:tc>
          <w:tcPr>
            <w:tcW w:w="0" w:type="auto"/>
            <w:vAlign w:val="center"/>
            <w:hideMark/>
          </w:tcPr>
          <w:p w14:paraId="4882E1F0"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High</w:t>
            </w:r>
          </w:p>
        </w:tc>
      </w:tr>
      <w:tr w:rsidR="002C048D" w:rsidRPr="0044638E" w14:paraId="3FBFC4DC" w14:textId="77777777" w:rsidTr="002B166C">
        <w:trPr>
          <w:tblCellSpacing w:w="15" w:type="dxa"/>
        </w:trPr>
        <w:tc>
          <w:tcPr>
            <w:tcW w:w="0" w:type="auto"/>
            <w:vAlign w:val="center"/>
            <w:hideMark/>
          </w:tcPr>
          <w:p w14:paraId="275F2359"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Third-Party Oversight</w:t>
            </w:r>
          </w:p>
        </w:tc>
        <w:tc>
          <w:tcPr>
            <w:tcW w:w="0" w:type="auto"/>
            <w:vAlign w:val="center"/>
            <w:hideMark/>
          </w:tcPr>
          <w:p w14:paraId="07DBD62B"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Strong</w:t>
            </w:r>
          </w:p>
        </w:tc>
        <w:tc>
          <w:tcPr>
            <w:tcW w:w="0" w:type="auto"/>
            <w:vAlign w:val="center"/>
            <w:hideMark/>
          </w:tcPr>
          <w:p w14:paraId="17B3D204"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Weak</w:t>
            </w:r>
          </w:p>
        </w:tc>
        <w:tc>
          <w:tcPr>
            <w:tcW w:w="0" w:type="auto"/>
            <w:vAlign w:val="center"/>
            <w:hideMark/>
          </w:tcPr>
          <w:p w14:paraId="688CA53D"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Strong</w:t>
            </w:r>
          </w:p>
        </w:tc>
        <w:tc>
          <w:tcPr>
            <w:tcW w:w="0" w:type="auto"/>
            <w:vAlign w:val="center"/>
            <w:hideMark/>
          </w:tcPr>
          <w:p w14:paraId="76AC016E"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Moderate</w:t>
            </w:r>
          </w:p>
        </w:tc>
      </w:tr>
    </w:tbl>
    <w:p w14:paraId="35EDAEA2" w14:textId="77777777" w:rsidR="002B166C" w:rsidRDefault="002B166C" w:rsidP="0044638E">
      <w:pPr>
        <w:pStyle w:val="NoSpacing"/>
        <w:spacing w:line="360" w:lineRule="auto"/>
        <w:rPr>
          <w:rFonts w:ascii="Calibri" w:hAnsi="Calibri" w:cs="Calibri"/>
          <w:sz w:val="24"/>
          <w:szCs w:val="24"/>
        </w:rPr>
      </w:pPr>
    </w:p>
    <w:p w14:paraId="3AEFF4FA" w14:textId="3D886DEB"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lastRenderedPageBreak/>
        <w:t>5.6 Comparison with Traditional Banks</w:t>
      </w:r>
    </w:p>
    <w:p w14:paraId="2218FCB2" w14:textId="4909EC7A" w:rsidR="002C048D" w:rsidRDefault="002C048D" w:rsidP="007A51E2">
      <w:pPr>
        <w:pStyle w:val="NoSpacing"/>
        <w:spacing w:line="360" w:lineRule="auto"/>
        <w:jc w:val="both"/>
        <w:rPr>
          <w:rFonts w:ascii="Calibri" w:hAnsi="Calibri" w:cs="Calibri"/>
          <w:sz w:val="24"/>
          <w:szCs w:val="24"/>
        </w:rPr>
      </w:pPr>
      <w:r w:rsidRPr="0044638E">
        <w:rPr>
          <w:rFonts w:ascii="Calibri" w:hAnsi="Calibri" w:cs="Calibri"/>
          <w:sz w:val="24"/>
          <w:szCs w:val="24"/>
        </w:rPr>
        <w:t>Traditional banks like Barclays, Lloyds, and HSBC tend to</w:t>
      </w:r>
      <w:r w:rsidR="002B166C">
        <w:rPr>
          <w:rFonts w:ascii="Calibri" w:hAnsi="Calibri" w:cs="Calibri"/>
          <w:sz w:val="24"/>
          <w:szCs w:val="24"/>
        </w:rPr>
        <w:t xml:space="preserve"> </w:t>
      </w:r>
      <w:r w:rsidRPr="0044638E">
        <w:rPr>
          <w:rFonts w:ascii="Calibri" w:hAnsi="Calibri" w:cs="Calibri"/>
          <w:sz w:val="24"/>
          <w:szCs w:val="24"/>
        </w:rPr>
        <w:t>Maintain in-house security</w:t>
      </w:r>
      <w:r w:rsidR="002B166C">
        <w:rPr>
          <w:rFonts w:ascii="Calibri" w:hAnsi="Calibri" w:cs="Calibri"/>
          <w:sz w:val="24"/>
          <w:szCs w:val="24"/>
        </w:rPr>
        <w:t xml:space="preserve"> </w:t>
      </w:r>
      <w:r w:rsidRPr="0044638E">
        <w:rPr>
          <w:rFonts w:ascii="Calibri" w:hAnsi="Calibri" w:cs="Calibri"/>
          <w:sz w:val="24"/>
          <w:szCs w:val="24"/>
        </w:rPr>
        <w:t>teams and legacy mainframe infrastructures</w:t>
      </w:r>
      <w:r w:rsidR="002B166C">
        <w:rPr>
          <w:rFonts w:ascii="Calibri" w:hAnsi="Calibri" w:cs="Calibri"/>
          <w:sz w:val="24"/>
          <w:szCs w:val="24"/>
        </w:rPr>
        <w:t xml:space="preserve"> </w:t>
      </w:r>
      <w:r w:rsidRPr="0044638E">
        <w:rPr>
          <w:rFonts w:ascii="Calibri" w:hAnsi="Calibri" w:cs="Calibri"/>
          <w:sz w:val="24"/>
          <w:szCs w:val="24"/>
        </w:rPr>
        <w:t>Operate mature risk committees and board-level audit oversight</w:t>
      </w:r>
      <w:r w:rsidR="002B166C">
        <w:rPr>
          <w:rFonts w:ascii="Calibri" w:hAnsi="Calibri" w:cs="Calibri"/>
          <w:sz w:val="24"/>
          <w:szCs w:val="24"/>
        </w:rPr>
        <w:t xml:space="preserve"> </w:t>
      </w:r>
      <w:r w:rsidRPr="0044638E">
        <w:rPr>
          <w:rFonts w:ascii="Calibri" w:hAnsi="Calibri" w:cs="Calibri"/>
          <w:sz w:val="24"/>
          <w:szCs w:val="24"/>
        </w:rPr>
        <w:t>Comply with Basel III and PRA risk governance standards</w:t>
      </w:r>
      <w:r w:rsidR="007A51E2">
        <w:rPr>
          <w:rFonts w:ascii="Calibri" w:hAnsi="Calibri" w:cs="Calibri"/>
          <w:sz w:val="24"/>
          <w:szCs w:val="24"/>
        </w:rPr>
        <w:t xml:space="preserve"> </w:t>
      </w:r>
      <w:r w:rsidRPr="0044638E">
        <w:rPr>
          <w:rFonts w:ascii="Calibri" w:hAnsi="Calibri" w:cs="Calibri"/>
          <w:sz w:val="24"/>
          <w:szCs w:val="24"/>
        </w:rPr>
        <w:t>Rely on slower release cycles but exhibit higher resilience to regulatory scrutiny</w:t>
      </w:r>
      <w:r w:rsidR="002B166C">
        <w:rPr>
          <w:rFonts w:ascii="Calibri" w:hAnsi="Calibri" w:cs="Calibri"/>
          <w:sz w:val="24"/>
          <w:szCs w:val="24"/>
        </w:rPr>
        <w:t xml:space="preserve"> </w:t>
      </w:r>
      <w:r w:rsidRPr="0044638E">
        <w:rPr>
          <w:rFonts w:ascii="Calibri" w:hAnsi="Calibri" w:cs="Calibri"/>
          <w:sz w:val="24"/>
          <w:szCs w:val="24"/>
        </w:rPr>
        <w:t xml:space="preserve">Despite their slower digital agility, traditional banks outperform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in systematic</w:t>
      </w:r>
      <w:r w:rsidR="002B166C">
        <w:rPr>
          <w:rFonts w:ascii="Calibri" w:hAnsi="Calibri" w:cs="Calibri"/>
          <w:sz w:val="24"/>
          <w:szCs w:val="24"/>
        </w:rPr>
        <w:t xml:space="preserve"> </w:t>
      </w:r>
      <w:r w:rsidRPr="0044638E">
        <w:rPr>
          <w:rFonts w:ascii="Calibri" w:hAnsi="Calibri" w:cs="Calibri"/>
          <w:sz w:val="24"/>
          <w:szCs w:val="24"/>
        </w:rPr>
        <w:t>governance and layered cybersecurity controls.</w:t>
      </w:r>
    </w:p>
    <w:p w14:paraId="4E45B262" w14:textId="77777777" w:rsidR="002B166C" w:rsidRPr="0044638E" w:rsidRDefault="002B166C" w:rsidP="0044638E">
      <w:pPr>
        <w:pStyle w:val="NoSpacing"/>
        <w:spacing w:line="360" w:lineRule="auto"/>
        <w:rPr>
          <w:rFonts w:ascii="Calibri" w:hAnsi="Calibri" w:cs="Calibri"/>
          <w:sz w:val="24"/>
          <w:szCs w:val="24"/>
        </w:rPr>
      </w:pPr>
    </w:p>
    <w:p w14:paraId="33A2FCED"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5.7 Synthesis</w:t>
      </w:r>
    </w:p>
    <w:p w14:paraId="0ECDD5C9" w14:textId="77777777"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These case studies show a mixed picture:</w:t>
      </w:r>
    </w:p>
    <w:p w14:paraId="4E8D8D60" w14:textId="61EC3FAB" w:rsidR="002C048D" w:rsidRPr="0044638E" w:rsidRDefault="002C048D" w:rsidP="002B166C">
      <w:pPr>
        <w:pStyle w:val="NoSpacing"/>
        <w:spacing w:line="360" w:lineRule="auto"/>
        <w:jc w:val="both"/>
        <w:rPr>
          <w:rFonts w:ascii="Calibri" w:hAnsi="Calibri" w:cs="Calibri"/>
          <w:sz w:val="24"/>
          <w:szCs w:val="24"/>
        </w:rPr>
      </w:pPr>
      <w:r w:rsidRPr="0044638E">
        <w:rPr>
          <w:rFonts w:ascii="Calibri" w:hAnsi="Calibri" w:cs="Calibri"/>
          <w:sz w:val="24"/>
          <w:szCs w:val="24"/>
        </w:rPr>
        <w:t xml:space="preserve">FinTech lenders demonstrate innovation and transparency but often lag in institutional </w:t>
      </w:r>
      <w:proofErr w:type="spellStart"/>
      <w:r w:rsidRPr="0044638E">
        <w:rPr>
          <w:rFonts w:ascii="Calibri" w:hAnsi="Calibri" w:cs="Calibri"/>
          <w:sz w:val="24"/>
          <w:szCs w:val="24"/>
        </w:rPr>
        <w:t>rigour</w:t>
      </w:r>
      <w:proofErr w:type="spellEnd"/>
      <w:r w:rsidR="002B166C">
        <w:rPr>
          <w:rFonts w:ascii="Calibri" w:hAnsi="Calibri" w:cs="Calibri"/>
          <w:sz w:val="24"/>
          <w:szCs w:val="24"/>
        </w:rPr>
        <w:t xml:space="preserve"> </w:t>
      </w:r>
      <w:r w:rsidRPr="0044638E">
        <w:rPr>
          <w:rFonts w:ascii="Calibri" w:hAnsi="Calibri" w:cs="Calibri"/>
          <w:sz w:val="24"/>
          <w:szCs w:val="24"/>
        </w:rPr>
        <w:t>Regulatory engagement and external certifications (like ISO) are key differentiators of governance maturity</w:t>
      </w:r>
      <w:r w:rsidR="002B166C">
        <w:rPr>
          <w:rFonts w:ascii="Calibri" w:hAnsi="Calibri" w:cs="Calibri"/>
          <w:sz w:val="24"/>
          <w:szCs w:val="24"/>
        </w:rPr>
        <w:t xml:space="preserve"> </w:t>
      </w:r>
      <w:r w:rsidRPr="0044638E">
        <w:rPr>
          <w:rFonts w:ascii="Calibri" w:hAnsi="Calibri" w:cs="Calibri"/>
          <w:sz w:val="24"/>
          <w:szCs w:val="24"/>
        </w:rPr>
        <w:t>Breach response speed, communication strategy, and third-party risk management remain inconsistent across the sector</w:t>
      </w:r>
      <w:r w:rsidR="002B166C">
        <w:rPr>
          <w:rFonts w:ascii="Calibri" w:hAnsi="Calibri" w:cs="Calibri"/>
          <w:sz w:val="24"/>
          <w:szCs w:val="24"/>
        </w:rPr>
        <w:t xml:space="preserve"> </w:t>
      </w:r>
      <w:r w:rsidRPr="0044638E">
        <w:rPr>
          <w:rFonts w:ascii="Calibri" w:hAnsi="Calibri" w:cs="Calibri"/>
          <w:sz w:val="24"/>
          <w:szCs w:val="24"/>
        </w:rPr>
        <w:t xml:space="preserve">As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evolve, their convergence with traditional banks in terms of governance expectations is not just desirable</w:t>
      </w:r>
      <w:r w:rsidR="002B166C">
        <w:rPr>
          <w:rFonts w:ascii="Calibri" w:hAnsi="Calibri" w:cs="Calibri"/>
          <w:sz w:val="24"/>
          <w:szCs w:val="24"/>
        </w:rPr>
        <w:t xml:space="preserve"> </w:t>
      </w:r>
      <w:r w:rsidRPr="0044638E">
        <w:rPr>
          <w:rFonts w:ascii="Calibri" w:hAnsi="Calibri" w:cs="Calibri"/>
          <w:sz w:val="24"/>
          <w:szCs w:val="24"/>
        </w:rPr>
        <w:t>it is inevitable. Regulatory parity and consumer expectations are</w:t>
      </w:r>
      <w:r w:rsidR="002B166C">
        <w:rPr>
          <w:rFonts w:ascii="Calibri" w:hAnsi="Calibri" w:cs="Calibri"/>
          <w:sz w:val="24"/>
          <w:szCs w:val="24"/>
        </w:rPr>
        <w:t xml:space="preserve"> </w:t>
      </w:r>
      <w:r w:rsidRPr="0044638E">
        <w:rPr>
          <w:rFonts w:ascii="Calibri" w:hAnsi="Calibri" w:cs="Calibri"/>
          <w:sz w:val="24"/>
          <w:szCs w:val="24"/>
        </w:rPr>
        <w:t>pushing digital lenders toward greater operational maturity.</w:t>
      </w:r>
    </w:p>
    <w:p w14:paraId="27757A5D" w14:textId="3F5380DA" w:rsidR="002C048D" w:rsidRPr="0044638E" w:rsidRDefault="002C048D" w:rsidP="0044638E">
      <w:pPr>
        <w:pStyle w:val="NoSpacing"/>
        <w:spacing w:line="360" w:lineRule="auto"/>
        <w:rPr>
          <w:rFonts w:ascii="Calibri" w:hAnsi="Calibri" w:cs="Calibri"/>
          <w:sz w:val="24"/>
          <w:szCs w:val="24"/>
        </w:rPr>
      </w:pPr>
    </w:p>
    <w:p w14:paraId="60E3F722"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6. Discussion and Recommendations</w:t>
      </w:r>
    </w:p>
    <w:p w14:paraId="248CB9C8" w14:textId="77777777" w:rsidR="002C048D" w:rsidRPr="002B166C" w:rsidRDefault="002C048D" w:rsidP="002B166C">
      <w:pPr>
        <w:pStyle w:val="NoSpacing"/>
        <w:spacing w:line="360" w:lineRule="auto"/>
        <w:jc w:val="both"/>
        <w:rPr>
          <w:rFonts w:ascii="Calibri" w:hAnsi="Calibri" w:cs="Calibri"/>
          <w:color w:val="1F497D" w:themeColor="text2"/>
          <w:sz w:val="24"/>
          <w:szCs w:val="24"/>
        </w:rPr>
      </w:pPr>
      <w:r w:rsidRPr="002B166C">
        <w:rPr>
          <w:rFonts w:ascii="Calibri" w:hAnsi="Calibri" w:cs="Calibri"/>
          <w:color w:val="1F497D" w:themeColor="text2"/>
          <w:sz w:val="24"/>
          <w:szCs w:val="24"/>
        </w:rPr>
        <w:t>6.1 Synthesis of Key Themes</w:t>
      </w:r>
    </w:p>
    <w:p w14:paraId="6E7D32C8" w14:textId="2888FE32" w:rsidR="002B166C" w:rsidRDefault="002C048D" w:rsidP="002B166C">
      <w:pPr>
        <w:pStyle w:val="NoSpacing"/>
        <w:spacing w:line="360" w:lineRule="auto"/>
        <w:jc w:val="both"/>
        <w:rPr>
          <w:rFonts w:ascii="Calibri" w:hAnsi="Calibri" w:cs="Calibri"/>
          <w:sz w:val="24"/>
          <w:szCs w:val="24"/>
        </w:rPr>
      </w:pPr>
      <w:r w:rsidRPr="0044638E">
        <w:rPr>
          <w:rFonts w:ascii="Calibri" w:hAnsi="Calibri" w:cs="Calibri"/>
          <w:sz w:val="24"/>
          <w:szCs w:val="24"/>
        </w:rPr>
        <w:t xml:space="preserve">The empirical evidence and case studies reveal a significant divergence between FinTech lenders and traditional banks in terms of data governance maturity, cyber resilience, and regulatory responsiveness.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such as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and Starling demonstrate advanced consumer transparency and a proactive regulatory posture, while others like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exhibit security lapses due to hyper-scaling without parallel compliance infrastructure.</w:t>
      </w:r>
      <w:r w:rsidR="002B166C">
        <w:rPr>
          <w:rFonts w:ascii="Calibri" w:hAnsi="Calibri" w:cs="Calibri"/>
          <w:sz w:val="24"/>
          <w:szCs w:val="24"/>
        </w:rPr>
        <w:t xml:space="preserve"> </w:t>
      </w:r>
      <w:r w:rsidRPr="0044638E">
        <w:rPr>
          <w:rFonts w:ascii="Calibri" w:hAnsi="Calibri" w:cs="Calibri"/>
          <w:sz w:val="24"/>
          <w:szCs w:val="24"/>
        </w:rPr>
        <w:t>The findings underscore three major themes:</w:t>
      </w:r>
      <w:r w:rsidR="002B166C">
        <w:rPr>
          <w:rFonts w:ascii="Calibri" w:hAnsi="Calibri" w:cs="Calibri"/>
          <w:sz w:val="24"/>
          <w:szCs w:val="24"/>
        </w:rPr>
        <w:t xml:space="preserve"> </w:t>
      </w:r>
    </w:p>
    <w:p w14:paraId="29B287A0" w14:textId="05FA4D89" w:rsidR="002C048D" w:rsidRPr="0044638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Asymmetry in Governance Capacity:</w:t>
      </w:r>
      <w:r w:rsidRPr="0044638E">
        <w:rPr>
          <w:rFonts w:ascii="Calibri" w:hAnsi="Calibri" w:cs="Calibri"/>
          <w:sz w:val="24"/>
          <w:szCs w:val="24"/>
        </w:rPr>
        <w:t xml:space="preserve">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vary widely in their approach to data governance. While challenger banks have moved toward ISO 27001 certification and risk committees, others still lack comprehensive data lifecycle policies.</w:t>
      </w:r>
    </w:p>
    <w:p w14:paraId="4109C0B1" w14:textId="77777777" w:rsidR="002C048D" w:rsidRPr="0044638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lastRenderedPageBreak/>
        <w:t>Operational Innovation vs. Structural Weakness:</w:t>
      </w:r>
      <w:r w:rsidRPr="0044638E">
        <w:rPr>
          <w:rFonts w:ascii="Calibri" w:hAnsi="Calibri" w:cs="Calibri"/>
          <w:sz w:val="24"/>
          <w:szCs w:val="24"/>
        </w:rPr>
        <w:t xml:space="preserve"> Agile development models enhance </w:t>
      </w:r>
      <w:proofErr w:type="spellStart"/>
      <w:r w:rsidRPr="0044638E">
        <w:rPr>
          <w:rFonts w:ascii="Calibri" w:hAnsi="Calibri" w:cs="Calibri"/>
          <w:sz w:val="24"/>
          <w:szCs w:val="24"/>
        </w:rPr>
        <w:t>FinTechs</w:t>
      </w:r>
      <w:proofErr w:type="spellEnd"/>
      <w:r w:rsidRPr="0044638E">
        <w:rPr>
          <w:rFonts w:ascii="Calibri" w:hAnsi="Calibri" w:cs="Calibri"/>
          <w:sz w:val="24"/>
          <w:szCs w:val="24"/>
        </w:rPr>
        <w:t>’ capacity to innovate but also generate fragmented IT architectures, weak vendor oversight, and decentralised control mechanisms.</w:t>
      </w:r>
    </w:p>
    <w:p w14:paraId="2E322FA7" w14:textId="68E9A2B1" w:rsidR="002C048D"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Regulatory Convergence:</w:t>
      </w:r>
      <w:r w:rsidRPr="0044638E">
        <w:rPr>
          <w:rFonts w:ascii="Calibri" w:hAnsi="Calibri" w:cs="Calibri"/>
          <w:sz w:val="24"/>
          <w:szCs w:val="24"/>
        </w:rPr>
        <w:t xml:space="preserve"> Regulators increasingly expect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to meet the same standards as banks. The FCA, PRA, and ICO are jointly pushing for operational resilience, AI </w:t>
      </w:r>
      <w:proofErr w:type="spellStart"/>
      <w:r w:rsidRPr="0044638E">
        <w:rPr>
          <w:rFonts w:ascii="Calibri" w:hAnsi="Calibri" w:cs="Calibri"/>
          <w:sz w:val="24"/>
          <w:szCs w:val="24"/>
        </w:rPr>
        <w:t>explainability</w:t>
      </w:r>
      <w:proofErr w:type="spellEnd"/>
      <w:r w:rsidRPr="0044638E">
        <w:rPr>
          <w:rFonts w:ascii="Calibri" w:hAnsi="Calibri" w:cs="Calibri"/>
          <w:sz w:val="24"/>
          <w:szCs w:val="24"/>
        </w:rPr>
        <w:t>, and cross-sector cybersecurity protocols.</w:t>
      </w:r>
    </w:p>
    <w:p w14:paraId="66134DB2" w14:textId="77777777" w:rsidR="002B166C" w:rsidRPr="0044638E" w:rsidRDefault="002B166C" w:rsidP="002B166C">
      <w:pPr>
        <w:pStyle w:val="NoSpacing"/>
        <w:spacing w:line="360" w:lineRule="auto"/>
        <w:rPr>
          <w:rFonts w:ascii="Calibri" w:hAnsi="Calibri" w:cs="Calibri"/>
          <w:sz w:val="24"/>
          <w:szCs w:val="24"/>
        </w:rPr>
      </w:pPr>
    </w:p>
    <w:p w14:paraId="565ADBFA" w14:textId="77777777" w:rsidR="002C048D" w:rsidRPr="002B166C" w:rsidRDefault="002C048D" w:rsidP="002B166C">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6.2 Regulatory Recommendations</w:t>
      </w:r>
    </w:p>
    <w:p w14:paraId="3EA4D647" w14:textId="0D988700" w:rsidR="002C048D" w:rsidRPr="0044638E" w:rsidRDefault="002C048D" w:rsidP="007A51E2">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 xml:space="preserve">Mandate Data Governance </w:t>
      </w:r>
      <w:proofErr w:type="spellStart"/>
      <w:proofErr w:type="gramStart"/>
      <w:r w:rsidRPr="0044638E">
        <w:rPr>
          <w:rStyle w:val="Strong"/>
          <w:rFonts w:ascii="Calibri" w:hAnsi="Calibri" w:cs="Calibri"/>
          <w:sz w:val="24"/>
          <w:szCs w:val="24"/>
        </w:rPr>
        <w:t>Frameworks:</w:t>
      </w:r>
      <w:r w:rsidRPr="0044638E">
        <w:rPr>
          <w:rFonts w:ascii="Calibri" w:hAnsi="Calibri" w:cs="Calibri"/>
          <w:sz w:val="24"/>
          <w:szCs w:val="24"/>
        </w:rPr>
        <w:t>Regulators</w:t>
      </w:r>
      <w:proofErr w:type="spellEnd"/>
      <w:proofErr w:type="gramEnd"/>
      <w:r w:rsidRPr="0044638E">
        <w:rPr>
          <w:rFonts w:ascii="Calibri" w:hAnsi="Calibri" w:cs="Calibri"/>
          <w:sz w:val="24"/>
          <w:szCs w:val="24"/>
        </w:rPr>
        <w:t xml:space="preserve"> should co-develop a standardised governance template tailored for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(with DAMA, ISO, and NIST alignment).</w:t>
      </w:r>
    </w:p>
    <w:p w14:paraId="54BD2D8B" w14:textId="77777777" w:rsidR="002C048D" w:rsidRPr="0044638E" w:rsidRDefault="002C048D" w:rsidP="007A51E2">
      <w:pPr>
        <w:pStyle w:val="NoSpacing"/>
        <w:spacing w:line="360" w:lineRule="auto"/>
        <w:jc w:val="both"/>
        <w:rPr>
          <w:rFonts w:ascii="Calibri" w:hAnsi="Calibri" w:cs="Calibri"/>
          <w:sz w:val="24"/>
          <w:szCs w:val="24"/>
        </w:rPr>
      </w:pPr>
      <w:r w:rsidRPr="0044638E">
        <w:rPr>
          <w:rFonts w:ascii="Calibri" w:hAnsi="Calibri" w:cs="Calibri"/>
          <w:sz w:val="24"/>
          <w:szCs w:val="24"/>
        </w:rPr>
        <w:t>This should include board-level accountability for data ethics, internal audit mechanisms, and clearly defined data ownership roles.</w:t>
      </w:r>
    </w:p>
    <w:p w14:paraId="26F10FB9" w14:textId="74956EE9" w:rsidR="002C048D" w:rsidRPr="0044638E" w:rsidRDefault="002C048D" w:rsidP="007A51E2">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Strengthen Breach Notification Protocols:</w:t>
      </w:r>
      <w:r w:rsidR="002B166C">
        <w:rPr>
          <w:rFonts w:ascii="Calibri" w:hAnsi="Calibri" w:cs="Calibri"/>
          <w:sz w:val="24"/>
          <w:szCs w:val="24"/>
        </w:rPr>
        <w:t xml:space="preserve"> </w:t>
      </w:r>
      <w:r w:rsidRPr="0044638E">
        <w:rPr>
          <w:rFonts w:ascii="Calibri" w:hAnsi="Calibri" w:cs="Calibri"/>
          <w:sz w:val="24"/>
          <w:szCs w:val="24"/>
        </w:rPr>
        <w:t>Timely and transparent breach disclosure should be a licensing requirement.</w:t>
      </w:r>
      <w:r w:rsidR="002B166C">
        <w:rPr>
          <w:rFonts w:ascii="Calibri" w:hAnsi="Calibri" w:cs="Calibri"/>
          <w:sz w:val="24"/>
          <w:szCs w:val="24"/>
        </w:rPr>
        <w:t xml:space="preserve"> </w:t>
      </w:r>
      <w:r w:rsidRPr="0044638E">
        <w:rPr>
          <w:rFonts w:ascii="Calibri" w:hAnsi="Calibri" w:cs="Calibri"/>
          <w:sz w:val="24"/>
          <w:szCs w:val="24"/>
        </w:rPr>
        <w:t xml:space="preserve">ICO should collaborate with the FCA to audit </w:t>
      </w:r>
      <w:proofErr w:type="spellStart"/>
      <w:r w:rsidRPr="0044638E">
        <w:rPr>
          <w:rFonts w:ascii="Calibri" w:hAnsi="Calibri" w:cs="Calibri"/>
          <w:sz w:val="24"/>
          <w:szCs w:val="24"/>
        </w:rPr>
        <w:t>FinTechs</w:t>
      </w:r>
      <w:proofErr w:type="spellEnd"/>
      <w:r w:rsidRPr="0044638E">
        <w:rPr>
          <w:rFonts w:ascii="Calibri" w:hAnsi="Calibri" w:cs="Calibri"/>
          <w:sz w:val="24"/>
          <w:szCs w:val="24"/>
        </w:rPr>
        <w:t>' incident response readiness annually.</w:t>
      </w:r>
    </w:p>
    <w:p w14:paraId="65FAAE3B" w14:textId="7A37641D" w:rsidR="002C048D" w:rsidRPr="0044638E" w:rsidRDefault="002C048D" w:rsidP="007A51E2">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Tiered Compliance by Firm Maturity:</w:t>
      </w:r>
      <w:r w:rsidR="002B166C">
        <w:rPr>
          <w:rFonts w:ascii="Calibri" w:hAnsi="Calibri" w:cs="Calibri"/>
          <w:sz w:val="24"/>
          <w:szCs w:val="24"/>
        </w:rPr>
        <w:t xml:space="preserve"> </w:t>
      </w:r>
      <w:r w:rsidRPr="0044638E">
        <w:rPr>
          <w:rFonts w:ascii="Calibri" w:hAnsi="Calibri" w:cs="Calibri"/>
          <w:sz w:val="24"/>
          <w:szCs w:val="24"/>
        </w:rPr>
        <w:t>Introduce scalable regulatory expectations depending on firm age, customer base, and product complexity.</w:t>
      </w:r>
      <w:r w:rsidR="002B166C">
        <w:rPr>
          <w:rFonts w:ascii="Calibri" w:hAnsi="Calibri" w:cs="Calibri"/>
          <w:sz w:val="24"/>
          <w:szCs w:val="24"/>
        </w:rPr>
        <w:t xml:space="preserve"> </w:t>
      </w:r>
      <w:r w:rsidRPr="0044638E">
        <w:rPr>
          <w:rFonts w:ascii="Calibri" w:hAnsi="Calibri" w:cs="Calibri"/>
          <w:sz w:val="24"/>
          <w:szCs w:val="24"/>
        </w:rPr>
        <w:t xml:space="preserve">Encourage smaller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to join regulatory sandboxes or light-touch supervision pathways while scaling up governance maturity.</w:t>
      </w:r>
    </w:p>
    <w:p w14:paraId="20DD7639" w14:textId="7A1F7D18" w:rsidR="002C048D" w:rsidRDefault="002C048D" w:rsidP="007A51E2">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Cybersecurity Stress Testing:</w:t>
      </w:r>
      <w:r w:rsidR="002B166C">
        <w:rPr>
          <w:rFonts w:ascii="Calibri" w:hAnsi="Calibri" w:cs="Calibri"/>
          <w:sz w:val="24"/>
          <w:szCs w:val="24"/>
        </w:rPr>
        <w:t xml:space="preserve"> </w:t>
      </w:r>
      <w:r w:rsidRPr="0044638E">
        <w:rPr>
          <w:rFonts w:ascii="Calibri" w:hAnsi="Calibri" w:cs="Calibri"/>
          <w:sz w:val="24"/>
          <w:szCs w:val="24"/>
        </w:rPr>
        <w:t>The Bank of England and FCA should run coordinated cyber stress simulations across FinTech and traditional banks, reporting systemic vulnerabilities.</w:t>
      </w:r>
    </w:p>
    <w:p w14:paraId="6E546C84" w14:textId="77777777" w:rsidR="002B166C" w:rsidRDefault="002B166C" w:rsidP="0044638E">
      <w:pPr>
        <w:pStyle w:val="NoSpacing"/>
        <w:spacing w:line="360" w:lineRule="auto"/>
        <w:rPr>
          <w:rFonts w:ascii="Calibri" w:hAnsi="Calibri" w:cs="Calibri"/>
          <w:sz w:val="24"/>
          <w:szCs w:val="24"/>
        </w:rPr>
      </w:pPr>
    </w:p>
    <w:p w14:paraId="6B0D398D" w14:textId="2A8C959D"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 xml:space="preserve">6.3 </w:t>
      </w:r>
      <w:proofErr w:type="spellStart"/>
      <w:r w:rsidRPr="002B166C">
        <w:rPr>
          <w:rFonts w:ascii="Calibri" w:hAnsi="Calibri" w:cs="Calibri"/>
          <w:color w:val="1F497D" w:themeColor="text2"/>
          <w:sz w:val="24"/>
          <w:szCs w:val="24"/>
        </w:rPr>
        <w:t>Organisational</w:t>
      </w:r>
      <w:proofErr w:type="spellEnd"/>
      <w:r w:rsidRPr="002B166C">
        <w:rPr>
          <w:rFonts w:ascii="Calibri" w:hAnsi="Calibri" w:cs="Calibri"/>
          <w:color w:val="1F497D" w:themeColor="text2"/>
          <w:sz w:val="24"/>
          <w:szCs w:val="24"/>
        </w:rPr>
        <w:t xml:space="preserve"> Recommendations for </w:t>
      </w:r>
      <w:proofErr w:type="spellStart"/>
      <w:r w:rsidRPr="002B166C">
        <w:rPr>
          <w:rFonts w:ascii="Calibri" w:hAnsi="Calibri" w:cs="Calibri"/>
          <w:color w:val="1F497D" w:themeColor="text2"/>
          <w:sz w:val="24"/>
          <w:szCs w:val="24"/>
        </w:rPr>
        <w:t>FinTechs</w:t>
      </w:r>
      <w:proofErr w:type="spellEnd"/>
    </w:p>
    <w:p w14:paraId="1FC468C0" w14:textId="77777777" w:rsidR="001517A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Adopt Secure-by-Design Architecture:</w:t>
      </w:r>
      <w:r w:rsidR="002B166C">
        <w:rPr>
          <w:rFonts w:ascii="Calibri" w:hAnsi="Calibri" w:cs="Calibri"/>
          <w:sz w:val="24"/>
          <w:szCs w:val="24"/>
        </w:rPr>
        <w:t xml:space="preserve"> </w:t>
      </w:r>
      <w:r w:rsidRPr="0044638E">
        <w:rPr>
          <w:rFonts w:ascii="Calibri" w:hAnsi="Calibri" w:cs="Calibri"/>
          <w:sz w:val="24"/>
          <w:szCs w:val="24"/>
        </w:rPr>
        <w:t>Embed privacy and security controls at the</w:t>
      </w:r>
      <w:r w:rsidR="002B166C">
        <w:rPr>
          <w:rFonts w:ascii="Calibri" w:hAnsi="Calibri" w:cs="Calibri"/>
          <w:sz w:val="24"/>
          <w:szCs w:val="24"/>
        </w:rPr>
        <w:t xml:space="preserve"> </w:t>
      </w:r>
      <w:r w:rsidRPr="0044638E">
        <w:rPr>
          <w:rFonts w:ascii="Calibri" w:hAnsi="Calibri" w:cs="Calibri"/>
          <w:sz w:val="24"/>
          <w:szCs w:val="24"/>
        </w:rPr>
        <w:t xml:space="preserve">development phase using </w:t>
      </w:r>
      <w:proofErr w:type="spellStart"/>
      <w:r w:rsidRPr="0044638E">
        <w:rPr>
          <w:rFonts w:ascii="Calibri" w:hAnsi="Calibri" w:cs="Calibri"/>
          <w:sz w:val="24"/>
          <w:szCs w:val="24"/>
        </w:rPr>
        <w:t>DevSecOps</w:t>
      </w:r>
      <w:proofErr w:type="spellEnd"/>
      <w:r w:rsidRPr="0044638E">
        <w:rPr>
          <w:rFonts w:ascii="Calibri" w:hAnsi="Calibri" w:cs="Calibri"/>
          <w:sz w:val="24"/>
          <w:szCs w:val="24"/>
        </w:rPr>
        <w:t xml:space="preserve"> practices.</w:t>
      </w:r>
      <w:r w:rsidR="002B166C">
        <w:rPr>
          <w:rFonts w:ascii="Calibri" w:hAnsi="Calibri" w:cs="Calibri"/>
          <w:sz w:val="24"/>
          <w:szCs w:val="24"/>
        </w:rPr>
        <w:t xml:space="preserve"> </w:t>
      </w:r>
      <w:r w:rsidRPr="0044638E">
        <w:rPr>
          <w:rFonts w:ascii="Calibri" w:hAnsi="Calibri" w:cs="Calibri"/>
          <w:sz w:val="24"/>
          <w:szCs w:val="24"/>
        </w:rPr>
        <w:t>Use automated compliance tools to detect violations in real-time.</w:t>
      </w:r>
      <w:r w:rsidR="002B166C">
        <w:rPr>
          <w:rFonts w:ascii="Calibri" w:hAnsi="Calibri" w:cs="Calibri"/>
          <w:sz w:val="24"/>
          <w:szCs w:val="24"/>
        </w:rPr>
        <w:t xml:space="preserve"> </w:t>
      </w:r>
    </w:p>
    <w:p w14:paraId="67C03452" w14:textId="310173CE" w:rsidR="002C048D" w:rsidRPr="0044638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lastRenderedPageBreak/>
        <w:t>Create Data Ethics Committees:</w:t>
      </w:r>
      <w:r w:rsidR="002B166C">
        <w:rPr>
          <w:rFonts w:ascii="Calibri" w:hAnsi="Calibri" w:cs="Calibri"/>
          <w:sz w:val="24"/>
          <w:szCs w:val="24"/>
        </w:rPr>
        <w:t xml:space="preserve"> </w:t>
      </w:r>
      <w:r w:rsidRPr="0044638E">
        <w:rPr>
          <w:rFonts w:ascii="Calibri" w:hAnsi="Calibri" w:cs="Calibri"/>
          <w:sz w:val="24"/>
          <w:szCs w:val="24"/>
        </w:rPr>
        <w:t>Establish cross-functional teams to review data practices, model fairness, and algorithmic decision-making.</w:t>
      </w:r>
      <w:r w:rsidR="002B166C">
        <w:rPr>
          <w:rFonts w:ascii="Calibri" w:hAnsi="Calibri" w:cs="Calibri"/>
          <w:sz w:val="24"/>
          <w:szCs w:val="24"/>
        </w:rPr>
        <w:t xml:space="preserve"> </w:t>
      </w:r>
      <w:r w:rsidRPr="0044638E">
        <w:rPr>
          <w:rFonts w:ascii="Calibri" w:hAnsi="Calibri" w:cs="Calibri"/>
          <w:sz w:val="24"/>
          <w:szCs w:val="24"/>
        </w:rPr>
        <w:t>Promote transparency through public data responsibility reports.</w:t>
      </w:r>
    </w:p>
    <w:p w14:paraId="5B37D569" w14:textId="74AAD5E9" w:rsidR="002C048D" w:rsidRPr="0044638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Invest in Employee Awareness and Cyber Hygiene:</w:t>
      </w:r>
      <w:r w:rsidR="002B166C">
        <w:rPr>
          <w:rFonts w:ascii="Calibri" w:hAnsi="Calibri" w:cs="Calibri"/>
          <w:sz w:val="24"/>
          <w:szCs w:val="24"/>
        </w:rPr>
        <w:t xml:space="preserve"> </w:t>
      </w:r>
      <w:r w:rsidRPr="0044638E">
        <w:rPr>
          <w:rFonts w:ascii="Calibri" w:hAnsi="Calibri" w:cs="Calibri"/>
          <w:sz w:val="24"/>
          <w:szCs w:val="24"/>
        </w:rPr>
        <w:t>Staff training programs on GDPR, phishing defence, and secure authentication should be made mandatory.</w:t>
      </w:r>
    </w:p>
    <w:p w14:paraId="7E596548" w14:textId="4C4E79A8" w:rsidR="002C048D"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Enhance Vendor Risk Oversight:</w:t>
      </w:r>
      <w:r w:rsidR="002B166C">
        <w:rPr>
          <w:rFonts w:ascii="Calibri" w:hAnsi="Calibri" w:cs="Calibri"/>
          <w:sz w:val="24"/>
          <w:szCs w:val="24"/>
        </w:rPr>
        <w:t xml:space="preserve"> </w:t>
      </w:r>
      <w:r w:rsidRPr="0044638E">
        <w:rPr>
          <w:rFonts w:ascii="Calibri" w:hAnsi="Calibri" w:cs="Calibri"/>
          <w:sz w:val="24"/>
          <w:szCs w:val="24"/>
        </w:rPr>
        <w:t>Implement contractual data governance obligations for third-party vendors.</w:t>
      </w:r>
      <w:r w:rsidR="002B166C">
        <w:rPr>
          <w:rFonts w:ascii="Calibri" w:hAnsi="Calibri" w:cs="Calibri"/>
          <w:sz w:val="24"/>
          <w:szCs w:val="24"/>
        </w:rPr>
        <w:t xml:space="preserve"> </w:t>
      </w:r>
      <w:r w:rsidRPr="0044638E">
        <w:rPr>
          <w:rFonts w:ascii="Calibri" w:hAnsi="Calibri" w:cs="Calibri"/>
          <w:sz w:val="24"/>
          <w:szCs w:val="24"/>
        </w:rPr>
        <w:t>Maintain access logs and perform security audits of service providers.</w:t>
      </w:r>
    </w:p>
    <w:p w14:paraId="799DEEAE" w14:textId="77777777" w:rsidR="002B166C" w:rsidRPr="0044638E" w:rsidRDefault="002B166C" w:rsidP="002B166C">
      <w:pPr>
        <w:pStyle w:val="NoSpacing"/>
        <w:spacing w:line="360" w:lineRule="auto"/>
        <w:jc w:val="both"/>
        <w:rPr>
          <w:rFonts w:ascii="Calibri" w:hAnsi="Calibri" w:cs="Calibri"/>
          <w:sz w:val="24"/>
          <w:szCs w:val="24"/>
        </w:rPr>
      </w:pPr>
    </w:p>
    <w:p w14:paraId="468F7776" w14:textId="77777777" w:rsidR="002C048D" w:rsidRPr="002B166C" w:rsidRDefault="002C048D" w:rsidP="002B166C">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6.4 Sector-Wide Recommendations</w:t>
      </w:r>
    </w:p>
    <w:p w14:paraId="0EF4A3BF" w14:textId="434E183B" w:rsidR="002C048D" w:rsidRPr="0044638E"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Shared Cyber Intelligence Platforms:</w:t>
      </w:r>
      <w:r w:rsidR="002B166C">
        <w:rPr>
          <w:rFonts w:ascii="Calibri" w:hAnsi="Calibri" w:cs="Calibri"/>
          <w:sz w:val="24"/>
          <w:szCs w:val="24"/>
        </w:rPr>
        <w:t xml:space="preserve"> </w:t>
      </w:r>
      <w:r w:rsidRPr="0044638E">
        <w:rPr>
          <w:rFonts w:ascii="Calibri" w:hAnsi="Calibri" w:cs="Calibri"/>
          <w:sz w:val="24"/>
          <w:szCs w:val="24"/>
        </w:rPr>
        <w:t>Encourage FinTech consortiums to share</w:t>
      </w:r>
      <w:r w:rsidR="002B166C">
        <w:rPr>
          <w:rFonts w:ascii="Calibri" w:hAnsi="Calibri" w:cs="Calibri"/>
          <w:sz w:val="24"/>
          <w:szCs w:val="24"/>
        </w:rPr>
        <w:t xml:space="preserve"> </w:t>
      </w:r>
      <w:proofErr w:type="spellStart"/>
      <w:r w:rsidRPr="0044638E">
        <w:rPr>
          <w:rFonts w:ascii="Calibri" w:hAnsi="Calibri" w:cs="Calibri"/>
          <w:sz w:val="24"/>
          <w:szCs w:val="24"/>
        </w:rPr>
        <w:t>anonymised</w:t>
      </w:r>
      <w:proofErr w:type="spellEnd"/>
      <w:r w:rsidRPr="0044638E">
        <w:rPr>
          <w:rFonts w:ascii="Calibri" w:hAnsi="Calibri" w:cs="Calibri"/>
          <w:sz w:val="24"/>
          <w:szCs w:val="24"/>
        </w:rPr>
        <w:t xml:space="preserve"> threat intelligence, breach forensics, and best practices.</w:t>
      </w:r>
      <w:r w:rsidR="002B166C">
        <w:rPr>
          <w:rFonts w:ascii="Calibri" w:hAnsi="Calibri" w:cs="Calibri"/>
          <w:sz w:val="24"/>
          <w:szCs w:val="24"/>
        </w:rPr>
        <w:t xml:space="preserve"> </w:t>
      </w:r>
      <w:r w:rsidRPr="0044638E">
        <w:rPr>
          <w:rFonts w:ascii="Calibri" w:hAnsi="Calibri" w:cs="Calibri"/>
          <w:sz w:val="24"/>
          <w:szCs w:val="24"/>
        </w:rPr>
        <w:t>Foster public-private partnerships to identify common threat vectors.</w:t>
      </w:r>
    </w:p>
    <w:p w14:paraId="530C0F1B" w14:textId="25E8A409" w:rsidR="002C048D" w:rsidRDefault="002C048D" w:rsidP="002B166C">
      <w:pPr>
        <w:pStyle w:val="NoSpacing"/>
        <w:spacing w:line="360" w:lineRule="auto"/>
        <w:jc w:val="both"/>
        <w:rPr>
          <w:rFonts w:ascii="Calibri" w:hAnsi="Calibri" w:cs="Calibri"/>
          <w:sz w:val="24"/>
          <w:szCs w:val="24"/>
        </w:rPr>
      </w:pPr>
      <w:r w:rsidRPr="0044638E">
        <w:rPr>
          <w:rStyle w:val="Strong"/>
          <w:rFonts w:ascii="Calibri" w:hAnsi="Calibri" w:cs="Calibri"/>
          <w:sz w:val="24"/>
          <w:szCs w:val="24"/>
        </w:rPr>
        <w:t>Central Repository of Governance Standards:</w:t>
      </w:r>
      <w:r w:rsidR="002B166C">
        <w:rPr>
          <w:rFonts w:ascii="Calibri" w:hAnsi="Calibri" w:cs="Calibri"/>
          <w:sz w:val="24"/>
          <w:szCs w:val="24"/>
        </w:rPr>
        <w:t xml:space="preserve"> </w:t>
      </w:r>
      <w:r w:rsidRPr="0044638E">
        <w:rPr>
          <w:rFonts w:ascii="Calibri" w:hAnsi="Calibri" w:cs="Calibri"/>
          <w:sz w:val="24"/>
          <w:szCs w:val="24"/>
        </w:rPr>
        <w:t>Develop a publicly accessible digital registry of FinTech data governance metrics (compliance status, certifications, breach history).</w:t>
      </w:r>
      <w:r w:rsidR="002B166C">
        <w:rPr>
          <w:rFonts w:ascii="Calibri" w:hAnsi="Calibri" w:cs="Calibri"/>
          <w:sz w:val="24"/>
          <w:szCs w:val="24"/>
        </w:rPr>
        <w:t xml:space="preserve"> </w:t>
      </w:r>
      <w:r w:rsidRPr="0044638E">
        <w:rPr>
          <w:rFonts w:ascii="Calibri" w:hAnsi="Calibri" w:cs="Calibri"/>
          <w:sz w:val="24"/>
          <w:szCs w:val="24"/>
        </w:rPr>
        <w:t>Increase consumer and investor awareness of firms’ risk maturity.</w:t>
      </w:r>
    </w:p>
    <w:p w14:paraId="1E5849EE" w14:textId="77777777" w:rsidR="002B166C" w:rsidRPr="0044638E" w:rsidRDefault="002B166C" w:rsidP="002B166C">
      <w:pPr>
        <w:pStyle w:val="NoSpacing"/>
        <w:spacing w:line="360" w:lineRule="auto"/>
        <w:rPr>
          <w:rFonts w:ascii="Calibri" w:hAnsi="Calibri" w:cs="Calibri"/>
          <w:sz w:val="24"/>
          <w:szCs w:val="24"/>
        </w:rPr>
      </w:pPr>
    </w:p>
    <w:p w14:paraId="10AC501C"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6.5 Ethical and Strategic Implications</w:t>
      </w:r>
    </w:p>
    <w:p w14:paraId="0753E318" w14:textId="0FB4333D" w:rsidR="002C048D" w:rsidRDefault="002C048D" w:rsidP="002B166C">
      <w:pPr>
        <w:pStyle w:val="NoSpacing"/>
        <w:spacing w:line="360" w:lineRule="auto"/>
        <w:jc w:val="both"/>
        <w:rPr>
          <w:rFonts w:ascii="Calibri" w:hAnsi="Calibri" w:cs="Calibri"/>
          <w:sz w:val="24"/>
          <w:szCs w:val="24"/>
        </w:rPr>
      </w:pPr>
      <w:r w:rsidRPr="0044638E">
        <w:rPr>
          <w:rFonts w:ascii="Calibri" w:hAnsi="Calibri" w:cs="Calibri"/>
          <w:sz w:val="24"/>
          <w:szCs w:val="24"/>
        </w:rPr>
        <w:t xml:space="preserve">As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expand into AI-based credit scoring, cross-border data transfers, and behavioural analytics, ethical considerations become integral to governance. Regulators must move beyond binary compliance and assess firms on</w:t>
      </w:r>
      <w:r w:rsidR="002B166C">
        <w:rPr>
          <w:rFonts w:ascii="Calibri" w:hAnsi="Calibri" w:cs="Calibri"/>
          <w:sz w:val="24"/>
          <w:szCs w:val="24"/>
        </w:rPr>
        <w:t xml:space="preserve"> </w:t>
      </w:r>
      <w:r w:rsidRPr="0044638E">
        <w:rPr>
          <w:rFonts w:ascii="Calibri" w:hAnsi="Calibri" w:cs="Calibri"/>
          <w:sz w:val="24"/>
          <w:szCs w:val="24"/>
        </w:rPr>
        <w:t xml:space="preserve">Data </w:t>
      </w:r>
      <w:r w:rsidR="002B166C">
        <w:rPr>
          <w:rFonts w:ascii="Calibri" w:hAnsi="Calibri" w:cs="Calibri"/>
          <w:sz w:val="24"/>
          <w:szCs w:val="24"/>
        </w:rPr>
        <w:t xml:space="preserve">minimization, </w:t>
      </w:r>
      <w:r w:rsidRPr="0044638E">
        <w:rPr>
          <w:rFonts w:ascii="Calibri" w:hAnsi="Calibri" w:cs="Calibri"/>
          <w:sz w:val="24"/>
          <w:szCs w:val="24"/>
        </w:rPr>
        <w:t>Fairness and accountability in algorithmic decisions</w:t>
      </w:r>
      <w:r w:rsidR="002B166C">
        <w:rPr>
          <w:rFonts w:ascii="Calibri" w:hAnsi="Calibri" w:cs="Calibri"/>
          <w:sz w:val="24"/>
          <w:szCs w:val="24"/>
        </w:rPr>
        <w:t xml:space="preserve">, </w:t>
      </w:r>
      <w:r w:rsidRPr="0044638E">
        <w:rPr>
          <w:rFonts w:ascii="Calibri" w:hAnsi="Calibri" w:cs="Calibri"/>
          <w:sz w:val="24"/>
          <w:szCs w:val="24"/>
        </w:rPr>
        <w:t>Informed user consent and opt-out mechanisms</w:t>
      </w:r>
      <w:r w:rsidR="002B166C">
        <w:rPr>
          <w:rFonts w:ascii="Calibri" w:hAnsi="Calibri" w:cs="Calibri"/>
          <w:sz w:val="24"/>
          <w:szCs w:val="24"/>
        </w:rPr>
        <w:t xml:space="preserve"> </w:t>
      </w:r>
      <w:proofErr w:type="gramStart"/>
      <w:r w:rsidRPr="0044638E">
        <w:rPr>
          <w:rFonts w:ascii="Calibri" w:hAnsi="Calibri" w:cs="Calibri"/>
          <w:sz w:val="24"/>
          <w:szCs w:val="24"/>
        </w:rPr>
        <w:t>From</w:t>
      </w:r>
      <w:proofErr w:type="gramEnd"/>
      <w:r w:rsidRPr="0044638E">
        <w:rPr>
          <w:rFonts w:ascii="Calibri" w:hAnsi="Calibri" w:cs="Calibri"/>
          <w:sz w:val="24"/>
          <w:szCs w:val="24"/>
        </w:rPr>
        <w:t xml:space="preserve"> a strategic standpoint,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that embed robust governance from the outset are more likely to gain regulatory trust, attract institutional investment, and foster durable consumer relationships.</w:t>
      </w:r>
    </w:p>
    <w:p w14:paraId="0F1E5473" w14:textId="77777777" w:rsidR="002B166C" w:rsidRPr="0044638E" w:rsidRDefault="002B166C" w:rsidP="0044638E">
      <w:pPr>
        <w:pStyle w:val="NoSpacing"/>
        <w:spacing w:line="360" w:lineRule="auto"/>
        <w:rPr>
          <w:rFonts w:ascii="Calibri" w:hAnsi="Calibri" w:cs="Calibri"/>
          <w:sz w:val="24"/>
          <w:szCs w:val="24"/>
        </w:rPr>
      </w:pPr>
    </w:p>
    <w:p w14:paraId="383BD2A1"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6.6 Summary</w:t>
      </w:r>
    </w:p>
    <w:p w14:paraId="6A0C4C31" w14:textId="3F82D135" w:rsidR="002C048D" w:rsidRPr="0044638E" w:rsidRDefault="002C048D" w:rsidP="0044638E">
      <w:pPr>
        <w:pStyle w:val="NoSpacing"/>
        <w:spacing w:line="360" w:lineRule="auto"/>
        <w:rPr>
          <w:rFonts w:ascii="Calibri" w:hAnsi="Calibri" w:cs="Calibri"/>
          <w:sz w:val="24"/>
          <w:szCs w:val="24"/>
        </w:rPr>
      </w:pPr>
      <w:r w:rsidRPr="0044638E">
        <w:rPr>
          <w:rFonts w:ascii="Calibri" w:hAnsi="Calibri" w:cs="Calibri"/>
          <w:sz w:val="24"/>
          <w:szCs w:val="24"/>
        </w:rPr>
        <w:t>The convergence of digital innovation and governance is not optional</w:t>
      </w:r>
      <w:r w:rsidR="002B166C">
        <w:rPr>
          <w:rFonts w:ascii="Calibri" w:hAnsi="Calibri" w:cs="Calibri"/>
          <w:sz w:val="24"/>
          <w:szCs w:val="24"/>
        </w:rPr>
        <w:t xml:space="preserve"> </w:t>
      </w:r>
      <w:r w:rsidRPr="0044638E">
        <w:rPr>
          <w:rFonts w:ascii="Calibri" w:hAnsi="Calibri" w:cs="Calibri"/>
          <w:sz w:val="24"/>
          <w:szCs w:val="24"/>
        </w:rPr>
        <w:t xml:space="preserve">it is essential. FinTech lenders must evolve from disruptors into responsible stewards of data. By </w:t>
      </w:r>
      <w:r w:rsidRPr="0044638E">
        <w:rPr>
          <w:rFonts w:ascii="Calibri" w:hAnsi="Calibri" w:cs="Calibri"/>
          <w:sz w:val="24"/>
          <w:szCs w:val="24"/>
        </w:rPr>
        <w:lastRenderedPageBreak/>
        <w:t>aligning governance maturity with technological agility, the FinTech sector can sustain innovation while meeting the rising bar of regulatory and societal expectations.</w:t>
      </w:r>
    </w:p>
    <w:p w14:paraId="74D3EE9B" w14:textId="199A767A" w:rsidR="002C048D" w:rsidRPr="0044638E" w:rsidRDefault="002C048D" w:rsidP="0044638E">
      <w:pPr>
        <w:pStyle w:val="NoSpacing"/>
        <w:spacing w:line="360" w:lineRule="auto"/>
        <w:rPr>
          <w:rFonts w:ascii="Calibri" w:hAnsi="Calibri" w:cs="Calibri"/>
          <w:sz w:val="24"/>
          <w:szCs w:val="24"/>
        </w:rPr>
      </w:pPr>
    </w:p>
    <w:p w14:paraId="0175A55A" w14:textId="77777777" w:rsidR="002C048D" w:rsidRPr="002B166C" w:rsidRDefault="002C048D" w:rsidP="0044638E">
      <w:pPr>
        <w:pStyle w:val="NoSpacing"/>
        <w:spacing w:line="360" w:lineRule="auto"/>
        <w:rPr>
          <w:rFonts w:ascii="Calibri" w:hAnsi="Calibri" w:cs="Calibri"/>
          <w:color w:val="1F497D" w:themeColor="text2"/>
          <w:sz w:val="24"/>
          <w:szCs w:val="24"/>
        </w:rPr>
      </w:pPr>
      <w:r w:rsidRPr="002B166C">
        <w:rPr>
          <w:rFonts w:ascii="Calibri" w:hAnsi="Calibri" w:cs="Calibri"/>
          <w:color w:val="1F497D" w:themeColor="text2"/>
          <w:sz w:val="24"/>
          <w:szCs w:val="24"/>
        </w:rPr>
        <w:t>7. Conclusion</w:t>
      </w:r>
    </w:p>
    <w:p w14:paraId="69F41DFB" w14:textId="19A3A1E5" w:rsidR="002C048D" w:rsidRPr="0044638E" w:rsidRDefault="002C048D" w:rsidP="002E1268">
      <w:pPr>
        <w:pStyle w:val="NoSpacing"/>
        <w:spacing w:line="360" w:lineRule="auto"/>
        <w:jc w:val="both"/>
        <w:rPr>
          <w:rFonts w:ascii="Calibri" w:hAnsi="Calibri" w:cs="Calibri"/>
          <w:sz w:val="24"/>
          <w:szCs w:val="24"/>
        </w:rPr>
      </w:pPr>
      <w:r w:rsidRPr="0044638E">
        <w:rPr>
          <w:rFonts w:ascii="Calibri" w:hAnsi="Calibri" w:cs="Calibri"/>
          <w:sz w:val="24"/>
          <w:szCs w:val="24"/>
        </w:rPr>
        <w:t xml:space="preserve">This research has explored the pressing issue of data governance and security in the FinTech lending sector, with a particular focus on the UK market. It examined the operational realities, regulatory obligations, and ethical dilemmas faced by platform lenders and </w:t>
      </w:r>
      <w:proofErr w:type="spellStart"/>
      <w:r w:rsidRPr="0044638E">
        <w:rPr>
          <w:rFonts w:ascii="Calibri" w:hAnsi="Calibri" w:cs="Calibri"/>
          <w:sz w:val="24"/>
          <w:szCs w:val="24"/>
        </w:rPr>
        <w:t>neobanks</w:t>
      </w:r>
      <w:proofErr w:type="spellEnd"/>
      <w:r w:rsidRPr="0044638E">
        <w:rPr>
          <w:rFonts w:ascii="Calibri" w:hAnsi="Calibri" w:cs="Calibri"/>
          <w:sz w:val="24"/>
          <w:szCs w:val="24"/>
        </w:rPr>
        <w:t xml:space="preserve"> in a data-driven ecosystem. By comparing FinTech lenders with traditional banks across various dimensions of governance maturity, cybersecurity readiness, and regulatory alignment, the study contributes to both academic and policy discussions.</w:t>
      </w:r>
      <w:r w:rsidR="002E1268">
        <w:rPr>
          <w:rFonts w:ascii="Calibri" w:hAnsi="Calibri" w:cs="Calibri"/>
          <w:sz w:val="24"/>
          <w:szCs w:val="24"/>
        </w:rPr>
        <w:t xml:space="preserve"> </w:t>
      </w:r>
      <w:r w:rsidRPr="0044638E">
        <w:rPr>
          <w:rFonts w:ascii="Calibri" w:hAnsi="Calibri" w:cs="Calibri"/>
          <w:sz w:val="24"/>
          <w:szCs w:val="24"/>
        </w:rPr>
        <w:t xml:space="preserve">One of the key findings is that while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have made notable strides in user-centric innovation and accessibility, these advancements have often come at the cost of delayed or inconsistent adoption of robust governance structures. This has exposed them to cybersecurity incidents, reputational damage, and intensified regulatory scrutiny. Conversely, traditional banks</w:t>
      </w:r>
      <w:r w:rsidR="002E1268">
        <w:rPr>
          <w:rFonts w:ascii="Calibri" w:hAnsi="Calibri" w:cs="Calibri"/>
          <w:sz w:val="24"/>
          <w:szCs w:val="24"/>
        </w:rPr>
        <w:t xml:space="preserve"> </w:t>
      </w:r>
      <w:r w:rsidRPr="0044638E">
        <w:rPr>
          <w:rFonts w:ascii="Calibri" w:hAnsi="Calibri" w:cs="Calibri"/>
          <w:sz w:val="24"/>
          <w:szCs w:val="24"/>
        </w:rPr>
        <w:t>though slower in their digital transformation</w:t>
      </w:r>
      <w:r w:rsidR="002E1268">
        <w:rPr>
          <w:rFonts w:ascii="Calibri" w:hAnsi="Calibri" w:cs="Calibri"/>
          <w:sz w:val="24"/>
          <w:szCs w:val="24"/>
        </w:rPr>
        <w:t xml:space="preserve"> </w:t>
      </w:r>
      <w:r w:rsidRPr="0044638E">
        <w:rPr>
          <w:rFonts w:ascii="Calibri" w:hAnsi="Calibri" w:cs="Calibri"/>
          <w:sz w:val="24"/>
          <w:szCs w:val="24"/>
        </w:rPr>
        <w:t>possess well-developed governance and risk management frameworks that provide resilience in the face of systemic threats.</w:t>
      </w:r>
      <w:r w:rsidR="002E1268">
        <w:rPr>
          <w:rFonts w:ascii="Calibri" w:hAnsi="Calibri" w:cs="Calibri"/>
          <w:sz w:val="24"/>
          <w:szCs w:val="24"/>
        </w:rPr>
        <w:t xml:space="preserve"> </w:t>
      </w:r>
      <w:r w:rsidRPr="0044638E">
        <w:rPr>
          <w:rFonts w:ascii="Calibri" w:hAnsi="Calibri" w:cs="Calibri"/>
          <w:sz w:val="24"/>
          <w:szCs w:val="24"/>
        </w:rPr>
        <w:t xml:space="preserve">The research also highlighted the growing regulatory expectation that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adopt governance standards equivalent to those of incumbent banks. The case studies of </w:t>
      </w: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Starling, </w:t>
      </w:r>
      <w:proofErr w:type="spellStart"/>
      <w:r w:rsidRPr="0044638E">
        <w:rPr>
          <w:rFonts w:ascii="Calibri" w:hAnsi="Calibri" w:cs="Calibri"/>
          <w:sz w:val="24"/>
          <w:szCs w:val="24"/>
        </w:rPr>
        <w:t>Revolut</w:t>
      </w:r>
      <w:proofErr w:type="spellEnd"/>
      <w:r w:rsidRPr="0044638E">
        <w:rPr>
          <w:rFonts w:ascii="Calibri" w:hAnsi="Calibri" w:cs="Calibri"/>
          <w:sz w:val="24"/>
          <w:szCs w:val="24"/>
        </w:rPr>
        <w:t xml:space="preserve">, and </w:t>
      </w:r>
      <w:proofErr w:type="spellStart"/>
      <w:r w:rsidRPr="0044638E">
        <w:rPr>
          <w:rFonts w:ascii="Calibri" w:hAnsi="Calibri" w:cs="Calibri"/>
          <w:sz w:val="24"/>
          <w:szCs w:val="24"/>
        </w:rPr>
        <w:t>Zopa</w:t>
      </w:r>
      <w:proofErr w:type="spellEnd"/>
      <w:r w:rsidRPr="0044638E">
        <w:rPr>
          <w:rFonts w:ascii="Calibri" w:hAnsi="Calibri" w:cs="Calibri"/>
          <w:sz w:val="24"/>
          <w:szCs w:val="24"/>
        </w:rPr>
        <w:t xml:space="preserve"> illustrated both strengths and vulnerabilities across the FinTech spectrum. Firms with stronger regulatory engagement, clearer privacy policies, and established cyber hygiene practices are more likely to sustain long-term consumer trust and avoid regulatory penalties.</w:t>
      </w:r>
      <w:r w:rsidR="002E1268">
        <w:rPr>
          <w:rFonts w:ascii="Calibri" w:hAnsi="Calibri" w:cs="Calibri"/>
          <w:sz w:val="24"/>
          <w:szCs w:val="24"/>
        </w:rPr>
        <w:t xml:space="preserve"> </w:t>
      </w:r>
      <w:r w:rsidRPr="0044638E">
        <w:rPr>
          <w:rFonts w:ascii="Calibri" w:hAnsi="Calibri" w:cs="Calibri"/>
          <w:sz w:val="24"/>
          <w:szCs w:val="24"/>
        </w:rPr>
        <w:t xml:space="preserve">The recommendations proposed in this study are both organisational and systemic.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must </w:t>
      </w:r>
      <w:proofErr w:type="spellStart"/>
      <w:r w:rsidRPr="0044638E">
        <w:rPr>
          <w:rFonts w:ascii="Calibri" w:hAnsi="Calibri" w:cs="Calibri"/>
          <w:sz w:val="24"/>
          <w:szCs w:val="24"/>
        </w:rPr>
        <w:t>internalise</w:t>
      </w:r>
      <w:proofErr w:type="spellEnd"/>
      <w:r w:rsidRPr="0044638E">
        <w:rPr>
          <w:rFonts w:ascii="Calibri" w:hAnsi="Calibri" w:cs="Calibri"/>
          <w:sz w:val="24"/>
          <w:szCs w:val="24"/>
        </w:rPr>
        <w:t xml:space="preserve"> governance through secure-by-design principles, data ethics committees, and better vendor oversight. At the same time, regulators should harmonise compliance expectations, develop tiered supervision models, and support information-sharing networks. Collectively, these initiatives can reduce the governance gap between innovation and institutional responsibility.</w:t>
      </w:r>
      <w:r w:rsidR="002E1268">
        <w:rPr>
          <w:rFonts w:ascii="Calibri" w:hAnsi="Calibri" w:cs="Calibri"/>
          <w:sz w:val="24"/>
          <w:szCs w:val="24"/>
        </w:rPr>
        <w:t xml:space="preserve"> </w:t>
      </w:r>
      <w:r w:rsidRPr="0044638E">
        <w:rPr>
          <w:rFonts w:ascii="Calibri" w:hAnsi="Calibri" w:cs="Calibri"/>
          <w:sz w:val="24"/>
          <w:szCs w:val="24"/>
        </w:rPr>
        <w:t xml:space="preserve">The ethical implications of data misuse and algorithmic bias cannot be understated. As </w:t>
      </w:r>
      <w:proofErr w:type="spellStart"/>
      <w:r w:rsidRPr="0044638E">
        <w:rPr>
          <w:rFonts w:ascii="Calibri" w:hAnsi="Calibri" w:cs="Calibri"/>
          <w:sz w:val="24"/>
          <w:szCs w:val="24"/>
        </w:rPr>
        <w:t>FinTechs</w:t>
      </w:r>
      <w:proofErr w:type="spellEnd"/>
      <w:r w:rsidRPr="0044638E">
        <w:rPr>
          <w:rFonts w:ascii="Calibri" w:hAnsi="Calibri" w:cs="Calibri"/>
          <w:sz w:val="24"/>
          <w:szCs w:val="24"/>
        </w:rPr>
        <w:t xml:space="preserve"> </w:t>
      </w:r>
      <w:r w:rsidRPr="0044638E">
        <w:rPr>
          <w:rFonts w:ascii="Calibri" w:hAnsi="Calibri" w:cs="Calibri"/>
          <w:sz w:val="24"/>
          <w:szCs w:val="24"/>
        </w:rPr>
        <w:lastRenderedPageBreak/>
        <w:t>increasingly deploy AI and behavioural analytics, they must ensure that their systems are explainable, auditable, and aligned with societal values. Public trust hinges not only on technological sophistication but also on transparent, ethical data practices.</w:t>
      </w:r>
    </w:p>
    <w:p w14:paraId="11614A74" w14:textId="6E4A6443" w:rsidR="002C048D" w:rsidRPr="0044638E" w:rsidRDefault="002C048D" w:rsidP="002E1268">
      <w:pPr>
        <w:pStyle w:val="NoSpacing"/>
        <w:spacing w:line="360" w:lineRule="auto"/>
        <w:jc w:val="both"/>
        <w:rPr>
          <w:rFonts w:ascii="Calibri" w:hAnsi="Calibri" w:cs="Calibri"/>
          <w:sz w:val="24"/>
          <w:szCs w:val="24"/>
        </w:rPr>
      </w:pPr>
      <w:r w:rsidRPr="0044638E">
        <w:rPr>
          <w:rFonts w:ascii="Calibri" w:hAnsi="Calibri" w:cs="Calibri"/>
          <w:sz w:val="24"/>
          <w:szCs w:val="24"/>
        </w:rPr>
        <w:t>In conclusion, data governance and security in FinTech are no longer peripheral concerns; they are central to sustainable growth, competitive advantage, and systemic integrity. As the sector matures, it must embrace a dual imperative: to innovate boldly while governing responsibly. This research underscores the urgency of that mission and provides a roadmap for achieving it.</w:t>
      </w:r>
      <w:r w:rsidR="002E1268">
        <w:rPr>
          <w:rFonts w:ascii="Calibri" w:hAnsi="Calibri" w:cs="Calibri"/>
          <w:sz w:val="24"/>
          <w:szCs w:val="24"/>
        </w:rPr>
        <w:t xml:space="preserve"> </w:t>
      </w:r>
      <w:r w:rsidRPr="0044638E">
        <w:rPr>
          <w:rFonts w:ascii="Calibri" w:hAnsi="Calibri" w:cs="Calibri"/>
          <w:sz w:val="24"/>
          <w:szCs w:val="24"/>
        </w:rPr>
        <w:t>Future studies may extend this work by</w:t>
      </w:r>
      <w:r w:rsidR="002E1268">
        <w:rPr>
          <w:rFonts w:ascii="Calibri" w:hAnsi="Calibri" w:cs="Calibri"/>
          <w:sz w:val="24"/>
          <w:szCs w:val="24"/>
        </w:rPr>
        <w:t xml:space="preserve"> </w:t>
      </w:r>
      <w:r w:rsidRPr="0044638E">
        <w:rPr>
          <w:rFonts w:ascii="Calibri" w:hAnsi="Calibri" w:cs="Calibri"/>
          <w:sz w:val="24"/>
          <w:szCs w:val="24"/>
        </w:rPr>
        <w:t>Examining emerging FinTech markets beyond the UK</w:t>
      </w:r>
      <w:r w:rsidR="002E1268">
        <w:rPr>
          <w:rFonts w:ascii="Calibri" w:hAnsi="Calibri" w:cs="Calibri"/>
          <w:sz w:val="24"/>
          <w:szCs w:val="24"/>
        </w:rPr>
        <w:t xml:space="preserve"> </w:t>
      </w:r>
      <w:r w:rsidRPr="0044638E">
        <w:rPr>
          <w:rFonts w:ascii="Calibri" w:hAnsi="Calibri" w:cs="Calibri"/>
          <w:sz w:val="24"/>
          <w:szCs w:val="24"/>
        </w:rPr>
        <w:t>Assessing real-time impact of upcoming AI legislation on data governance</w:t>
      </w:r>
      <w:r w:rsidR="002E1268">
        <w:rPr>
          <w:rFonts w:ascii="Calibri" w:hAnsi="Calibri" w:cs="Calibri"/>
          <w:sz w:val="24"/>
          <w:szCs w:val="24"/>
        </w:rPr>
        <w:t xml:space="preserve"> </w:t>
      </w:r>
      <w:r w:rsidRPr="0044638E">
        <w:rPr>
          <w:rFonts w:ascii="Calibri" w:hAnsi="Calibri" w:cs="Calibri"/>
          <w:sz w:val="24"/>
          <w:szCs w:val="24"/>
        </w:rPr>
        <w:t>Measuring consumer attitudes toward data stewardship in FinTech firms</w:t>
      </w:r>
      <w:r w:rsidR="002E1268">
        <w:rPr>
          <w:rFonts w:ascii="Calibri" w:hAnsi="Calibri" w:cs="Calibri"/>
          <w:sz w:val="24"/>
          <w:szCs w:val="24"/>
        </w:rPr>
        <w:t xml:space="preserve"> </w:t>
      </w:r>
      <w:r w:rsidRPr="0044638E">
        <w:rPr>
          <w:rFonts w:ascii="Calibri" w:hAnsi="Calibri" w:cs="Calibri"/>
          <w:sz w:val="24"/>
          <w:szCs w:val="24"/>
        </w:rPr>
        <w:t>Ultimately, robust data governance is not just a regulatory necessity</w:t>
      </w:r>
      <w:r w:rsidR="002E1268">
        <w:rPr>
          <w:rFonts w:ascii="Calibri" w:hAnsi="Calibri" w:cs="Calibri"/>
          <w:sz w:val="24"/>
          <w:szCs w:val="24"/>
        </w:rPr>
        <w:t xml:space="preserve"> </w:t>
      </w:r>
      <w:r w:rsidRPr="0044638E">
        <w:rPr>
          <w:rFonts w:ascii="Calibri" w:hAnsi="Calibri" w:cs="Calibri"/>
          <w:sz w:val="24"/>
          <w:szCs w:val="24"/>
        </w:rPr>
        <w:t>it is a strategic enabler and moral obligation in the digital age.</w:t>
      </w:r>
    </w:p>
    <w:p w14:paraId="5C71FDD6" w14:textId="36F54D03" w:rsidR="002C048D" w:rsidRPr="0044638E" w:rsidRDefault="002C048D" w:rsidP="0044638E">
      <w:pPr>
        <w:pStyle w:val="NoSpacing"/>
        <w:spacing w:line="360" w:lineRule="auto"/>
        <w:rPr>
          <w:rFonts w:ascii="Calibri" w:hAnsi="Calibri" w:cs="Calibri"/>
          <w:sz w:val="24"/>
          <w:szCs w:val="24"/>
        </w:rPr>
      </w:pPr>
    </w:p>
    <w:p w14:paraId="1C23CF57" w14:textId="77777777" w:rsidR="002C048D" w:rsidRPr="002E1268" w:rsidRDefault="002C048D" w:rsidP="0044638E">
      <w:pPr>
        <w:pStyle w:val="NoSpacing"/>
        <w:spacing w:line="360" w:lineRule="auto"/>
        <w:rPr>
          <w:rFonts w:ascii="Calibri" w:hAnsi="Calibri" w:cs="Calibri"/>
          <w:color w:val="1F497D" w:themeColor="text2"/>
          <w:sz w:val="24"/>
          <w:szCs w:val="24"/>
        </w:rPr>
      </w:pPr>
      <w:r w:rsidRPr="002E1268">
        <w:rPr>
          <w:rFonts w:ascii="Calibri" w:hAnsi="Calibri" w:cs="Calibri"/>
          <w:color w:val="1F497D" w:themeColor="text2"/>
          <w:sz w:val="24"/>
          <w:szCs w:val="24"/>
        </w:rPr>
        <w:t>References</w:t>
      </w:r>
    </w:p>
    <w:p w14:paraId="24D5F2DB" w14:textId="1B00DABC"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Aldasoro</w:t>
      </w:r>
      <w:proofErr w:type="spellEnd"/>
      <w:r w:rsidRPr="0044638E">
        <w:rPr>
          <w:rFonts w:ascii="Calibri" w:hAnsi="Calibri" w:cs="Calibri"/>
          <w:sz w:val="24"/>
          <w:szCs w:val="24"/>
        </w:rPr>
        <w:t xml:space="preserve">, I., </w:t>
      </w:r>
      <w:proofErr w:type="spellStart"/>
      <w:r w:rsidRPr="0044638E">
        <w:rPr>
          <w:rFonts w:ascii="Calibri" w:hAnsi="Calibri" w:cs="Calibri"/>
          <w:sz w:val="24"/>
          <w:szCs w:val="24"/>
        </w:rPr>
        <w:t>Gambacorta</w:t>
      </w:r>
      <w:proofErr w:type="spellEnd"/>
      <w:r w:rsidRPr="0044638E">
        <w:rPr>
          <w:rFonts w:ascii="Calibri" w:hAnsi="Calibri" w:cs="Calibri"/>
          <w:sz w:val="24"/>
          <w:szCs w:val="24"/>
        </w:rPr>
        <w:t xml:space="preserve">, L., </w:t>
      </w:r>
      <w:proofErr w:type="spellStart"/>
      <w:r w:rsidRPr="0044638E">
        <w:rPr>
          <w:rFonts w:ascii="Calibri" w:hAnsi="Calibri" w:cs="Calibri"/>
          <w:sz w:val="24"/>
          <w:szCs w:val="24"/>
        </w:rPr>
        <w:t>Giudici</w:t>
      </w:r>
      <w:proofErr w:type="spellEnd"/>
      <w:r w:rsidRPr="0044638E">
        <w:rPr>
          <w:rFonts w:ascii="Calibri" w:hAnsi="Calibri" w:cs="Calibri"/>
          <w:sz w:val="24"/>
          <w:szCs w:val="24"/>
        </w:rPr>
        <w:t xml:space="preserve">, P. and Leach, T., 2022. The drivers of cyber risk. </w:t>
      </w:r>
      <w:r w:rsidRPr="0044638E">
        <w:rPr>
          <w:rStyle w:val="Emphasis"/>
          <w:rFonts w:ascii="Calibri" w:eastAsiaTheme="majorEastAsia" w:hAnsi="Calibri" w:cs="Calibri"/>
          <w:i w:val="0"/>
          <w:sz w:val="24"/>
          <w:szCs w:val="24"/>
        </w:rPr>
        <w:t>Bank for International Settlements Quarterly Review</w:t>
      </w:r>
      <w:r w:rsidRPr="0044638E">
        <w:rPr>
          <w:rFonts w:ascii="Calibri" w:hAnsi="Calibri" w:cs="Calibri"/>
          <w:sz w:val="24"/>
          <w:szCs w:val="24"/>
        </w:rPr>
        <w:t>, September 2022.</w:t>
      </w:r>
      <w:r w:rsidR="002E1268">
        <w:rPr>
          <w:rFonts w:ascii="Calibri" w:hAnsi="Calibri" w:cs="Calibri"/>
          <w:sz w:val="24"/>
          <w:szCs w:val="24"/>
        </w:rPr>
        <w:t xml:space="preserve">Available at: </w:t>
      </w:r>
      <w:hyperlink r:id="rId8" w:history="1">
        <w:r w:rsidR="002E1268" w:rsidRPr="00EA4078">
          <w:rPr>
            <w:rStyle w:val="Hyperlink"/>
            <w:rFonts w:ascii="Calibri" w:hAnsi="Calibri" w:cs="Calibri"/>
            <w:sz w:val="24"/>
            <w:szCs w:val="24"/>
          </w:rPr>
          <w:t>https://www.bis.org/publ/work865.pdf</w:t>
        </w:r>
      </w:hyperlink>
      <w:r w:rsidR="002E1268">
        <w:rPr>
          <w:rFonts w:ascii="Calibri" w:hAnsi="Calibri" w:cs="Calibri"/>
          <w:color w:val="0070C0"/>
          <w:sz w:val="24"/>
          <w:szCs w:val="24"/>
          <w:u w:val="single"/>
        </w:rPr>
        <w:t xml:space="preserve"> </w:t>
      </w:r>
      <w:r w:rsidR="002E1268" w:rsidRPr="0044638E">
        <w:rPr>
          <w:rFonts w:ascii="Calibri" w:hAnsi="Calibri" w:cs="Calibri"/>
          <w:sz w:val="24"/>
          <w:szCs w:val="24"/>
        </w:rPr>
        <w:t xml:space="preserve">[Accessed </w:t>
      </w:r>
      <w:r w:rsidR="002E1268">
        <w:rPr>
          <w:rFonts w:ascii="Calibri" w:hAnsi="Calibri" w:cs="Calibri"/>
          <w:sz w:val="24"/>
          <w:szCs w:val="24"/>
        </w:rPr>
        <w:t>7</w:t>
      </w:r>
      <w:r w:rsidR="002E1268" w:rsidRPr="0044638E">
        <w:rPr>
          <w:rFonts w:ascii="Calibri" w:hAnsi="Calibri" w:cs="Calibri"/>
          <w:sz w:val="24"/>
          <w:szCs w:val="24"/>
        </w:rPr>
        <w:t xml:space="preserve"> Jul. 2025].</w:t>
      </w:r>
    </w:p>
    <w:p w14:paraId="3ED28284" w14:textId="42BFE256"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Arner</w:t>
      </w:r>
      <w:proofErr w:type="spellEnd"/>
      <w:r w:rsidRPr="0044638E">
        <w:rPr>
          <w:rFonts w:ascii="Calibri" w:hAnsi="Calibri" w:cs="Calibri"/>
          <w:sz w:val="24"/>
          <w:szCs w:val="24"/>
        </w:rPr>
        <w:t xml:space="preserve">, D.W., </w:t>
      </w:r>
      <w:proofErr w:type="spellStart"/>
      <w:r w:rsidRPr="0044638E">
        <w:rPr>
          <w:rFonts w:ascii="Calibri" w:hAnsi="Calibri" w:cs="Calibri"/>
          <w:sz w:val="24"/>
          <w:szCs w:val="24"/>
        </w:rPr>
        <w:t>Barberis</w:t>
      </w:r>
      <w:proofErr w:type="spellEnd"/>
      <w:r w:rsidRPr="0044638E">
        <w:rPr>
          <w:rFonts w:ascii="Calibri" w:hAnsi="Calibri" w:cs="Calibri"/>
          <w:sz w:val="24"/>
          <w:szCs w:val="24"/>
        </w:rPr>
        <w:t xml:space="preserve">, J. and Buckley, R.P., 2017. FinTech, </w:t>
      </w:r>
      <w:proofErr w:type="spellStart"/>
      <w:r w:rsidRPr="0044638E">
        <w:rPr>
          <w:rFonts w:ascii="Calibri" w:hAnsi="Calibri" w:cs="Calibri"/>
          <w:sz w:val="24"/>
          <w:szCs w:val="24"/>
        </w:rPr>
        <w:t>RegTech</w:t>
      </w:r>
      <w:proofErr w:type="spellEnd"/>
      <w:r w:rsidRPr="0044638E">
        <w:rPr>
          <w:rFonts w:ascii="Calibri" w:hAnsi="Calibri" w:cs="Calibri"/>
          <w:sz w:val="24"/>
          <w:szCs w:val="24"/>
        </w:rPr>
        <w:t xml:space="preserve">, and the reconceptualization of financial regulation. </w:t>
      </w:r>
      <w:r w:rsidRPr="0044638E">
        <w:rPr>
          <w:rStyle w:val="Emphasis"/>
          <w:rFonts w:ascii="Calibri" w:eastAsiaTheme="majorEastAsia" w:hAnsi="Calibri" w:cs="Calibri"/>
          <w:i w:val="0"/>
          <w:sz w:val="24"/>
          <w:szCs w:val="24"/>
        </w:rPr>
        <w:t>Northwestern Journal of International Law &amp; Business</w:t>
      </w:r>
      <w:r w:rsidRPr="0044638E">
        <w:rPr>
          <w:rFonts w:ascii="Calibri" w:hAnsi="Calibri" w:cs="Calibri"/>
          <w:sz w:val="24"/>
          <w:szCs w:val="24"/>
        </w:rPr>
        <w:t>, 37(3), pp.371-413.</w:t>
      </w:r>
      <w:r w:rsidR="002E1268">
        <w:rPr>
          <w:rFonts w:ascii="Calibri" w:hAnsi="Calibri" w:cs="Calibri"/>
          <w:sz w:val="24"/>
          <w:szCs w:val="24"/>
        </w:rPr>
        <w:t xml:space="preserve">Available at: </w:t>
      </w:r>
      <w:hyperlink r:id="rId9" w:history="1">
        <w:r w:rsidR="002E1268" w:rsidRPr="00EA4078">
          <w:rPr>
            <w:rStyle w:val="Hyperlink"/>
            <w:rFonts w:ascii="Calibri" w:hAnsi="Calibri" w:cs="Calibri"/>
            <w:sz w:val="24"/>
            <w:szCs w:val="24"/>
          </w:rPr>
          <w:t>https://scholarlycommons.law.northwestern.edu/njilb/vol37/iss3/2/</w:t>
        </w:r>
      </w:hyperlink>
      <w:r w:rsidR="002E1268">
        <w:rPr>
          <w:rFonts w:ascii="Calibri" w:hAnsi="Calibri" w:cs="Calibri"/>
          <w:color w:val="0070C0"/>
          <w:sz w:val="24"/>
          <w:szCs w:val="24"/>
          <w:u w:val="single"/>
        </w:rPr>
        <w:t xml:space="preserve"> </w:t>
      </w:r>
      <w:r w:rsidR="002E1268" w:rsidRPr="0044638E">
        <w:rPr>
          <w:rFonts w:ascii="Calibri" w:hAnsi="Calibri" w:cs="Calibri"/>
          <w:sz w:val="24"/>
          <w:szCs w:val="24"/>
        </w:rPr>
        <w:t xml:space="preserve">[Accessed </w:t>
      </w:r>
      <w:r w:rsidR="002E1268">
        <w:rPr>
          <w:rFonts w:ascii="Calibri" w:hAnsi="Calibri" w:cs="Calibri"/>
          <w:sz w:val="24"/>
          <w:szCs w:val="24"/>
        </w:rPr>
        <w:t>7</w:t>
      </w:r>
      <w:r w:rsidR="002E1268" w:rsidRPr="0044638E">
        <w:rPr>
          <w:rFonts w:ascii="Calibri" w:hAnsi="Calibri" w:cs="Calibri"/>
          <w:sz w:val="24"/>
          <w:szCs w:val="24"/>
        </w:rPr>
        <w:t xml:space="preserve"> Jul. 2025].</w:t>
      </w:r>
    </w:p>
    <w:p w14:paraId="2CE5DC51" w14:textId="651B9BD0"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Basel Committee on Banking Supervision (BCBS), 2019. </w:t>
      </w:r>
      <w:r w:rsidRPr="0044638E">
        <w:rPr>
          <w:rStyle w:val="Emphasis"/>
          <w:rFonts w:ascii="Calibri" w:eastAsiaTheme="majorEastAsia" w:hAnsi="Calibri" w:cs="Calibri"/>
          <w:i w:val="0"/>
          <w:sz w:val="24"/>
          <w:szCs w:val="24"/>
        </w:rPr>
        <w:t>Guiding principles for operational resilience</w:t>
      </w:r>
      <w:r w:rsidRPr="0044638E">
        <w:rPr>
          <w:rFonts w:ascii="Calibri" w:hAnsi="Calibri" w:cs="Calibri"/>
          <w:sz w:val="24"/>
          <w:szCs w:val="24"/>
        </w:rPr>
        <w:t xml:space="preserve">. Available at: </w:t>
      </w:r>
      <w:hyperlink r:id="rId10" w:history="1">
        <w:r w:rsidRPr="007A51E2">
          <w:rPr>
            <w:rStyle w:val="Hyperlink"/>
            <w:rFonts w:ascii="Calibri" w:eastAsiaTheme="majorEastAsia" w:hAnsi="Calibri" w:cs="Calibri"/>
            <w:color w:val="1A1AF2"/>
            <w:sz w:val="24"/>
            <w:szCs w:val="24"/>
          </w:rPr>
          <w:t>https://www.bis.org/bcbs/publ/d516.pdf</w:t>
        </w:r>
      </w:hyperlink>
      <w:r w:rsidR="007A51E2">
        <w:rPr>
          <w:rFonts w:ascii="Calibri" w:hAnsi="Calibri" w:cs="Calibri"/>
          <w:color w:val="0070C0"/>
          <w:sz w:val="24"/>
          <w:szCs w:val="24"/>
        </w:rPr>
        <w:t xml:space="preserve"> </w:t>
      </w:r>
      <w:r w:rsidRPr="0044638E">
        <w:rPr>
          <w:rFonts w:ascii="Calibri" w:hAnsi="Calibri" w:cs="Calibri"/>
          <w:sz w:val="24"/>
          <w:szCs w:val="24"/>
        </w:rPr>
        <w:t xml:space="preserve">[Accessed </w:t>
      </w:r>
      <w:r w:rsidR="001A64B1">
        <w:rPr>
          <w:rFonts w:ascii="Calibri" w:hAnsi="Calibri" w:cs="Calibri"/>
          <w:sz w:val="24"/>
          <w:szCs w:val="24"/>
        </w:rPr>
        <w:t>9</w:t>
      </w:r>
      <w:r w:rsidRPr="0044638E">
        <w:rPr>
          <w:rFonts w:ascii="Calibri" w:hAnsi="Calibri" w:cs="Calibri"/>
          <w:sz w:val="24"/>
          <w:szCs w:val="24"/>
        </w:rPr>
        <w:t xml:space="preserve"> Jul. 2025].</w:t>
      </w:r>
    </w:p>
    <w:p w14:paraId="0941EB84" w14:textId="72FFE96A"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Boot, A., Hoffmann, P., </w:t>
      </w:r>
      <w:proofErr w:type="spellStart"/>
      <w:r w:rsidRPr="0044638E">
        <w:rPr>
          <w:rFonts w:ascii="Calibri" w:hAnsi="Calibri" w:cs="Calibri"/>
          <w:sz w:val="24"/>
          <w:szCs w:val="24"/>
        </w:rPr>
        <w:t>Laeven</w:t>
      </w:r>
      <w:proofErr w:type="spellEnd"/>
      <w:r w:rsidRPr="0044638E">
        <w:rPr>
          <w:rFonts w:ascii="Calibri" w:hAnsi="Calibri" w:cs="Calibri"/>
          <w:sz w:val="24"/>
          <w:szCs w:val="24"/>
        </w:rPr>
        <w:t xml:space="preserve">, L. and </w:t>
      </w:r>
      <w:proofErr w:type="spellStart"/>
      <w:r w:rsidRPr="0044638E">
        <w:rPr>
          <w:rFonts w:ascii="Calibri" w:hAnsi="Calibri" w:cs="Calibri"/>
          <w:sz w:val="24"/>
          <w:szCs w:val="24"/>
        </w:rPr>
        <w:t>Ratnovski</w:t>
      </w:r>
      <w:proofErr w:type="spellEnd"/>
      <w:r w:rsidRPr="0044638E">
        <w:rPr>
          <w:rFonts w:ascii="Calibri" w:hAnsi="Calibri" w:cs="Calibri"/>
          <w:sz w:val="24"/>
          <w:szCs w:val="24"/>
        </w:rPr>
        <w:t xml:space="preserve">, L., 2021. Fintech: What’s old, what’s new? </w:t>
      </w:r>
      <w:r w:rsidRPr="0044638E">
        <w:rPr>
          <w:rStyle w:val="Emphasis"/>
          <w:rFonts w:ascii="Calibri" w:eastAsiaTheme="majorEastAsia" w:hAnsi="Calibri" w:cs="Calibri"/>
          <w:i w:val="0"/>
          <w:sz w:val="24"/>
          <w:szCs w:val="24"/>
        </w:rPr>
        <w:t>Journal of Financial Stability</w:t>
      </w:r>
      <w:r w:rsidRPr="0044638E">
        <w:rPr>
          <w:rFonts w:ascii="Calibri" w:hAnsi="Calibri" w:cs="Calibri"/>
          <w:sz w:val="24"/>
          <w:szCs w:val="24"/>
        </w:rPr>
        <w:t>, 53, p.100836.</w:t>
      </w:r>
      <w:r w:rsidR="001A64B1">
        <w:rPr>
          <w:rFonts w:ascii="Calibri" w:hAnsi="Calibri" w:cs="Calibri"/>
          <w:sz w:val="24"/>
          <w:szCs w:val="24"/>
        </w:rPr>
        <w:t xml:space="preserve">Available at: </w:t>
      </w:r>
      <w:hyperlink r:id="rId11" w:history="1">
        <w:r w:rsidR="001A64B1" w:rsidRPr="00EA4078">
          <w:rPr>
            <w:rStyle w:val="Hyperlink"/>
            <w:rFonts w:ascii="Calibri" w:hAnsi="Calibri" w:cs="Calibri"/>
            <w:sz w:val="24"/>
            <w:szCs w:val="24"/>
          </w:rPr>
          <w:t>https://www.sciencedirect.com/science/article/abs/pii/S157230892030139X</w:t>
        </w:r>
      </w:hyperlink>
      <w:r w:rsidR="001A64B1">
        <w:rPr>
          <w:rFonts w:ascii="Calibri" w:hAnsi="Calibri" w:cs="Calibri"/>
          <w:sz w:val="24"/>
          <w:szCs w:val="24"/>
        </w:rPr>
        <w:t xml:space="preserve"> </w:t>
      </w:r>
      <w:r w:rsidR="001A64B1" w:rsidRPr="0044638E">
        <w:rPr>
          <w:rFonts w:ascii="Calibri" w:hAnsi="Calibri" w:cs="Calibri"/>
          <w:sz w:val="24"/>
          <w:szCs w:val="24"/>
        </w:rPr>
        <w:t xml:space="preserve">[Accessed </w:t>
      </w:r>
      <w:r w:rsidR="001A64B1">
        <w:rPr>
          <w:rFonts w:ascii="Calibri" w:hAnsi="Calibri" w:cs="Calibri"/>
          <w:sz w:val="24"/>
          <w:szCs w:val="24"/>
        </w:rPr>
        <w:t>9</w:t>
      </w:r>
      <w:r w:rsidR="001A64B1" w:rsidRPr="0044638E">
        <w:rPr>
          <w:rFonts w:ascii="Calibri" w:hAnsi="Calibri" w:cs="Calibri"/>
          <w:sz w:val="24"/>
          <w:szCs w:val="24"/>
        </w:rPr>
        <w:t xml:space="preserve"> Jul. 2025].</w:t>
      </w:r>
    </w:p>
    <w:p w14:paraId="40F4E37F" w14:textId="0A6E3F81"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lastRenderedPageBreak/>
        <w:t>Bouveret</w:t>
      </w:r>
      <w:proofErr w:type="spellEnd"/>
      <w:r w:rsidRPr="0044638E">
        <w:rPr>
          <w:rFonts w:ascii="Calibri" w:hAnsi="Calibri" w:cs="Calibri"/>
          <w:sz w:val="24"/>
          <w:szCs w:val="24"/>
        </w:rPr>
        <w:t xml:space="preserve">, A., 2018. </w:t>
      </w:r>
      <w:r w:rsidRPr="0044638E">
        <w:rPr>
          <w:rStyle w:val="Emphasis"/>
          <w:rFonts w:ascii="Calibri" w:eastAsiaTheme="majorEastAsia" w:hAnsi="Calibri" w:cs="Calibri"/>
          <w:i w:val="0"/>
          <w:sz w:val="24"/>
          <w:szCs w:val="24"/>
        </w:rPr>
        <w:t>Cyber risk for the financial sector: A framework for quantifying operational risk losses</w:t>
      </w:r>
      <w:r w:rsidRPr="0044638E">
        <w:rPr>
          <w:rFonts w:ascii="Calibri" w:hAnsi="Calibri" w:cs="Calibri"/>
          <w:sz w:val="24"/>
          <w:szCs w:val="24"/>
        </w:rPr>
        <w:t>. IMF Working Paper WP/18/143.</w:t>
      </w:r>
      <w:r w:rsidR="001A64B1">
        <w:rPr>
          <w:rFonts w:ascii="Calibri" w:hAnsi="Calibri" w:cs="Calibri"/>
          <w:sz w:val="24"/>
          <w:szCs w:val="24"/>
        </w:rPr>
        <w:t xml:space="preserve">Available at: </w:t>
      </w:r>
      <w:hyperlink r:id="rId12" w:history="1">
        <w:r w:rsidR="001A64B1" w:rsidRPr="00EA4078">
          <w:rPr>
            <w:rStyle w:val="Hyperlink"/>
            <w:rFonts w:ascii="Calibri" w:hAnsi="Calibri" w:cs="Calibri"/>
            <w:sz w:val="24"/>
            <w:szCs w:val="24"/>
          </w:rPr>
          <w:t>https://www.imf.org/en/Publications/WP/Issues/2018/06/22/Cyber-Risk-for-the-Financial-Sector-A-Framework-for-Quantitative-Assessment-45924</w:t>
        </w:r>
      </w:hyperlink>
      <w:r w:rsidR="001A64B1">
        <w:rPr>
          <w:rFonts w:ascii="Calibri" w:hAnsi="Calibri" w:cs="Calibri"/>
          <w:sz w:val="24"/>
          <w:szCs w:val="24"/>
        </w:rPr>
        <w:t xml:space="preserve">  </w:t>
      </w:r>
      <w:r w:rsidR="001A64B1" w:rsidRPr="0044638E">
        <w:rPr>
          <w:rFonts w:ascii="Calibri" w:hAnsi="Calibri" w:cs="Calibri"/>
          <w:sz w:val="24"/>
          <w:szCs w:val="24"/>
        </w:rPr>
        <w:t xml:space="preserve">[Accessed </w:t>
      </w:r>
      <w:r w:rsidR="001A64B1">
        <w:rPr>
          <w:rFonts w:ascii="Calibri" w:hAnsi="Calibri" w:cs="Calibri"/>
          <w:sz w:val="24"/>
          <w:szCs w:val="24"/>
        </w:rPr>
        <w:t>9</w:t>
      </w:r>
      <w:r w:rsidR="001A64B1" w:rsidRPr="0044638E">
        <w:rPr>
          <w:rFonts w:ascii="Calibri" w:hAnsi="Calibri" w:cs="Calibri"/>
          <w:sz w:val="24"/>
          <w:szCs w:val="24"/>
        </w:rPr>
        <w:t xml:space="preserve"> Jul. 2025].</w:t>
      </w:r>
    </w:p>
    <w:p w14:paraId="0DC84FFD" w14:textId="77777777"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Chen, Y., Dube, K. and Banerjee, P., 2021. Secure open banking APIs: Threats, best practices, and standards. </w:t>
      </w:r>
      <w:r w:rsidRPr="0044638E">
        <w:rPr>
          <w:rStyle w:val="Emphasis"/>
          <w:rFonts w:ascii="Calibri" w:eastAsiaTheme="majorEastAsia" w:hAnsi="Calibri" w:cs="Calibri"/>
          <w:i w:val="0"/>
          <w:sz w:val="24"/>
          <w:szCs w:val="24"/>
        </w:rPr>
        <w:t>Computer Standards &amp; Interfaces</w:t>
      </w:r>
      <w:r w:rsidRPr="0044638E">
        <w:rPr>
          <w:rFonts w:ascii="Calibri" w:hAnsi="Calibri" w:cs="Calibri"/>
          <w:sz w:val="24"/>
          <w:szCs w:val="24"/>
        </w:rPr>
        <w:t>, 76, p.103525.</w:t>
      </w:r>
    </w:p>
    <w:p w14:paraId="58B15003" w14:textId="49E87285"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Cornelli</w:t>
      </w:r>
      <w:proofErr w:type="spellEnd"/>
      <w:r w:rsidRPr="0044638E">
        <w:rPr>
          <w:rFonts w:ascii="Calibri" w:hAnsi="Calibri" w:cs="Calibri"/>
          <w:sz w:val="24"/>
          <w:szCs w:val="24"/>
        </w:rPr>
        <w:t xml:space="preserve">, G., Frost, J., </w:t>
      </w:r>
      <w:proofErr w:type="spellStart"/>
      <w:r w:rsidRPr="0044638E">
        <w:rPr>
          <w:rFonts w:ascii="Calibri" w:hAnsi="Calibri" w:cs="Calibri"/>
          <w:sz w:val="24"/>
          <w:szCs w:val="24"/>
        </w:rPr>
        <w:t>Gambacorta</w:t>
      </w:r>
      <w:proofErr w:type="spellEnd"/>
      <w:r w:rsidRPr="0044638E">
        <w:rPr>
          <w:rFonts w:ascii="Calibri" w:hAnsi="Calibri" w:cs="Calibri"/>
          <w:sz w:val="24"/>
          <w:szCs w:val="24"/>
        </w:rPr>
        <w:t xml:space="preserve">, L., Rau, R. and </w:t>
      </w:r>
      <w:proofErr w:type="spellStart"/>
      <w:r w:rsidRPr="0044638E">
        <w:rPr>
          <w:rFonts w:ascii="Calibri" w:hAnsi="Calibri" w:cs="Calibri"/>
          <w:sz w:val="24"/>
          <w:szCs w:val="24"/>
        </w:rPr>
        <w:t>Wardrop</w:t>
      </w:r>
      <w:proofErr w:type="spellEnd"/>
      <w:r w:rsidRPr="0044638E">
        <w:rPr>
          <w:rFonts w:ascii="Calibri" w:hAnsi="Calibri" w:cs="Calibri"/>
          <w:sz w:val="24"/>
          <w:szCs w:val="24"/>
        </w:rPr>
        <w:t xml:space="preserve">, R., 2020. </w:t>
      </w:r>
      <w:r w:rsidRPr="0044638E">
        <w:rPr>
          <w:rStyle w:val="Emphasis"/>
          <w:rFonts w:ascii="Calibri" w:eastAsiaTheme="majorEastAsia" w:hAnsi="Calibri" w:cs="Calibri"/>
          <w:i w:val="0"/>
          <w:sz w:val="24"/>
          <w:szCs w:val="24"/>
        </w:rPr>
        <w:t>Fintech and big tech credit: A new database</w:t>
      </w:r>
      <w:r w:rsidRPr="0044638E">
        <w:rPr>
          <w:rFonts w:ascii="Calibri" w:hAnsi="Calibri" w:cs="Calibri"/>
          <w:sz w:val="24"/>
          <w:szCs w:val="24"/>
        </w:rPr>
        <w:t>. BIS Working Papers No. 887.</w:t>
      </w:r>
      <w:r w:rsidR="007A51E2">
        <w:rPr>
          <w:rFonts w:ascii="Calibri" w:hAnsi="Calibri" w:cs="Calibri"/>
          <w:sz w:val="24"/>
          <w:szCs w:val="24"/>
        </w:rPr>
        <w:t xml:space="preserve">Available at: </w:t>
      </w:r>
      <w:hyperlink r:id="rId13" w:history="1">
        <w:r w:rsidR="007A51E2" w:rsidRPr="00EA4078">
          <w:rPr>
            <w:rStyle w:val="Hyperlink"/>
            <w:rFonts w:ascii="Calibri" w:hAnsi="Calibri" w:cs="Calibri"/>
            <w:sz w:val="24"/>
            <w:szCs w:val="24"/>
          </w:rPr>
          <w:t>https://www.bis.org/publ/work887.pdf</w:t>
        </w:r>
      </w:hyperlink>
      <w:r w:rsidR="007A51E2">
        <w:rPr>
          <w:rFonts w:ascii="Calibri" w:hAnsi="Calibri" w:cs="Calibri"/>
          <w:sz w:val="24"/>
          <w:szCs w:val="24"/>
        </w:rPr>
        <w:t xml:space="preserve"> </w:t>
      </w:r>
      <w:r w:rsidR="007A51E2" w:rsidRPr="0044638E">
        <w:rPr>
          <w:rFonts w:ascii="Calibri" w:hAnsi="Calibri" w:cs="Calibri"/>
          <w:sz w:val="24"/>
          <w:szCs w:val="24"/>
        </w:rPr>
        <w:t xml:space="preserve">[Accessed </w:t>
      </w:r>
      <w:r w:rsidR="007A51E2">
        <w:rPr>
          <w:rFonts w:ascii="Calibri" w:hAnsi="Calibri" w:cs="Calibri"/>
          <w:sz w:val="24"/>
          <w:szCs w:val="24"/>
        </w:rPr>
        <w:t xml:space="preserve">10 </w:t>
      </w:r>
      <w:r w:rsidR="007A51E2" w:rsidRPr="0044638E">
        <w:rPr>
          <w:rFonts w:ascii="Calibri" w:hAnsi="Calibri" w:cs="Calibri"/>
          <w:sz w:val="24"/>
          <w:szCs w:val="24"/>
        </w:rPr>
        <w:t>Jul. 2025].</w:t>
      </w:r>
    </w:p>
    <w:p w14:paraId="25575849" w14:textId="25D730FB" w:rsidR="002C048D" w:rsidRPr="007866C8" w:rsidRDefault="002C048D" w:rsidP="007866C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Data Management Association (DAMA), 2021. </w:t>
      </w:r>
      <w:r w:rsidRPr="0044638E">
        <w:rPr>
          <w:rStyle w:val="Emphasis"/>
          <w:rFonts w:ascii="Calibri" w:eastAsiaTheme="majorEastAsia" w:hAnsi="Calibri" w:cs="Calibri"/>
          <w:i w:val="0"/>
          <w:sz w:val="24"/>
          <w:szCs w:val="24"/>
        </w:rPr>
        <w:t>The DAMA Guide to the Data Management Body of Knowledge (DAMA-DMBOK2)</w:t>
      </w:r>
      <w:r w:rsidRPr="0044638E">
        <w:rPr>
          <w:rFonts w:ascii="Calibri" w:hAnsi="Calibri" w:cs="Calibri"/>
          <w:sz w:val="24"/>
          <w:szCs w:val="24"/>
        </w:rPr>
        <w:t xml:space="preserve">. Technics </w:t>
      </w:r>
      <w:proofErr w:type="spellStart"/>
      <w:r w:rsidRPr="0044638E">
        <w:rPr>
          <w:rFonts w:ascii="Calibri" w:hAnsi="Calibri" w:cs="Calibri"/>
          <w:sz w:val="24"/>
          <w:szCs w:val="24"/>
        </w:rPr>
        <w:t>Publications.</w:t>
      </w:r>
      <w:r w:rsidR="007A51E2">
        <w:rPr>
          <w:rFonts w:ascii="Calibri" w:hAnsi="Calibri" w:cs="Calibri"/>
          <w:sz w:val="24"/>
          <w:szCs w:val="24"/>
        </w:rPr>
        <w:t>Available</w:t>
      </w:r>
      <w:proofErr w:type="spellEnd"/>
      <w:r w:rsidR="007A51E2">
        <w:rPr>
          <w:rFonts w:ascii="Calibri" w:hAnsi="Calibri" w:cs="Calibri"/>
          <w:sz w:val="24"/>
          <w:szCs w:val="24"/>
        </w:rPr>
        <w:t xml:space="preserve"> at: </w:t>
      </w:r>
      <w:hyperlink r:id="rId14" w:history="1">
        <w:r w:rsidR="007A51E2" w:rsidRPr="00EA4078">
          <w:rPr>
            <w:rStyle w:val="Hyperlink"/>
            <w:rFonts w:ascii="Calibri" w:hAnsi="Calibri" w:cs="Calibri"/>
            <w:sz w:val="24"/>
            <w:szCs w:val="24"/>
          </w:rPr>
          <w:t>https://dama.org/dmbok2r-infographics/</w:t>
        </w:r>
      </w:hyperlink>
      <w:r w:rsidR="007A51E2">
        <w:rPr>
          <w:rFonts w:ascii="Calibri" w:hAnsi="Calibri" w:cs="Calibri"/>
          <w:sz w:val="24"/>
          <w:szCs w:val="24"/>
        </w:rPr>
        <w:t xml:space="preserve"> </w:t>
      </w:r>
      <w:r w:rsidR="007866C8">
        <w:rPr>
          <w:rFonts w:ascii="Calibri" w:hAnsi="Calibri" w:cs="Calibri"/>
          <w:sz w:val="24"/>
          <w:szCs w:val="24"/>
        </w:rPr>
        <w:t xml:space="preserve"> </w:t>
      </w:r>
      <w:r w:rsidR="007866C8" w:rsidRPr="0044638E">
        <w:rPr>
          <w:rFonts w:ascii="Calibri" w:hAnsi="Calibri" w:cs="Calibri"/>
          <w:sz w:val="24"/>
          <w:szCs w:val="24"/>
        </w:rPr>
        <w:t xml:space="preserve">[Accessed </w:t>
      </w:r>
      <w:r w:rsidR="007866C8">
        <w:rPr>
          <w:rFonts w:ascii="Calibri" w:hAnsi="Calibri" w:cs="Calibri"/>
          <w:sz w:val="24"/>
          <w:szCs w:val="24"/>
        </w:rPr>
        <w:t xml:space="preserve">10 </w:t>
      </w:r>
      <w:r w:rsidR="007866C8" w:rsidRPr="0044638E">
        <w:rPr>
          <w:rFonts w:ascii="Calibri" w:hAnsi="Calibri" w:cs="Calibri"/>
          <w:sz w:val="24"/>
          <w:szCs w:val="24"/>
        </w:rPr>
        <w:t>Jul. 2025].</w:t>
      </w:r>
    </w:p>
    <w:p w14:paraId="22E2B027" w14:textId="02D4933B"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FCA, 2022. </w:t>
      </w:r>
      <w:r w:rsidRPr="0044638E">
        <w:rPr>
          <w:rStyle w:val="Emphasis"/>
          <w:rFonts w:ascii="Calibri" w:eastAsiaTheme="majorEastAsia" w:hAnsi="Calibri" w:cs="Calibri"/>
          <w:i w:val="0"/>
          <w:sz w:val="24"/>
          <w:szCs w:val="24"/>
        </w:rPr>
        <w:t>Consumer Duty Final Rules and Guidance</w:t>
      </w:r>
      <w:r w:rsidRPr="0044638E">
        <w:rPr>
          <w:rFonts w:ascii="Calibri" w:hAnsi="Calibri" w:cs="Calibri"/>
          <w:sz w:val="24"/>
          <w:szCs w:val="24"/>
        </w:rPr>
        <w:t xml:space="preserve">. [online] Available at: </w:t>
      </w:r>
      <w:hyperlink r:id="rId15" w:history="1">
        <w:r w:rsidRPr="0044638E">
          <w:rPr>
            <w:rStyle w:val="Hyperlink"/>
            <w:rFonts w:ascii="Calibri" w:eastAsiaTheme="majorEastAsia" w:hAnsi="Calibri" w:cs="Calibri"/>
            <w:sz w:val="24"/>
            <w:szCs w:val="24"/>
          </w:rPr>
          <w:t>https://www.fca.org.uk/publication/policy/ps22-9.pdf</w:t>
        </w:r>
      </w:hyperlink>
      <w:r w:rsidRPr="0044638E">
        <w:rPr>
          <w:rFonts w:ascii="Calibri" w:hAnsi="Calibri" w:cs="Calibri"/>
          <w:sz w:val="24"/>
          <w:szCs w:val="24"/>
        </w:rPr>
        <w:t xml:space="preserve"> [Accessed </w:t>
      </w:r>
      <w:r w:rsidR="007866C8">
        <w:rPr>
          <w:rFonts w:ascii="Calibri" w:hAnsi="Calibri" w:cs="Calibri"/>
          <w:sz w:val="24"/>
          <w:szCs w:val="24"/>
        </w:rPr>
        <w:t>11</w:t>
      </w:r>
      <w:r w:rsidRPr="0044638E">
        <w:rPr>
          <w:rFonts w:ascii="Calibri" w:hAnsi="Calibri" w:cs="Calibri"/>
          <w:sz w:val="24"/>
          <w:szCs w:val="24"/>
        </w:rPr>
        <w:t xml:space="preserve"> Jul. 2025].</w:t>
      </w:r>
    </w:p>
    <w:p w14:paraId="6D8C9484" w14:textId="1892526C"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FCA, 2023. </w:t>
      </w:r>
      <w:r w:rsidRPr="0044638E">
        <w:rPr>
          <w:rStyle w:val="Emphasis"/>
          <w:rFonts w:ascii="Calibri" w:eastAsiaTheme="majorEastAsia" w:hAnsi="Calibri" w:cs="Calibri"/>
          <w:i w:val="0"/>
          <w:sz w:val="24"/>
          <w:szCs w:val="24"/>
        </w:rPr>
        <w:t>FCA Business Plan 2023/24</w:t>
      </w:r>
      <w:r w:rsidRPr="0044638E">
        <w:rPr>
          <w:rFonts w:ascii="Calibri" w:hAnsi="Calibri" w:cs="Calibri"/>
          <w:sz w:val="24"/>
          <w:szCs w:val="24"/>
        </w:rPr>
        <w:t xml:space="preserve">. [online] Available at: </w:t>
      </w:r>
      <w:hyperlink r:id="rId16" w:history="1">
        <w:r w:rsidR="007866C8" w:rsidRPr="00EA4078">
          <w:rPr>
            <w:rStyle w:val="Hyperlink"/>
            <w:rFonts w:ascii="Calibri" w:hAnsi="Calibri" w:cs="Calibri"/>
            <w:sz w:val="24"/>
            <w:szCs w:val="24"/>
          </w:rPr>
          <w:t>https://www.fca.org.uk/publication/corporate/business-plan-2023-24.pdf</w:t>
        </w:r>
      </w:hyperlink>
      <w:r w:rsidR="007866C8">
        <w:rPr>
          <w:rFonts w:ascii="Calibri" w:hAnsi="Calibri" w:cs="Calibri"/>
          <w:sz w:val="24"/>
          <w:szCs w:val="24"/>
        </w:rPr>
        <w:t xml:space="preserve"> </w:t>
      </w:r>
      <w:r w:rsidRPr="0044638E">
        <w:rPr>
          <w:rFonts w:ascii="Calibri" w:hAnsi="Calibri" w:cs="Calibri"/>
          <w:sz w:val="24"/>
          <w:szCs w:val="24"/>
        </w:rPr>
        <w:t xml:space="preserve"> [Accessed </w:t>
      </w:r>
      <w:r w:rsidR="007866C8">
        <w:rPr>
          <w:rFonts w:ascii="Calibri" w:hAnsi="Calibri" w:cs="Calibri"/>
          <w:sz w:val="24"/>
          <w:szCs w:val="24"/>
        </w:rPr>
        <w:t>10</w:t>
      </w:r>
      <w:r w:rsidRPr="0044638E">
        <w:rPr>
          <w:rFonts w:ascii="Calibri" w:hAnsi="Calibri" w:cs="Calibri"/>
          <w:sz w:val="24"/>
          <w:szCs w:val="24"/>
        </w:rPr>
        <w:t xml:space="preserve"> Jul. 2025].</w:t>
      </w:r>
    </w:p>
    <w:p w14:paraId="452A8FAD" w14:textId="53C4A039"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Goodman, B. and Flaxman, S., 2017. European Union regulations on algorithmic decision-making and a "right to explanation". </w:t>
      </w:r>
      <w:r w:rsidRPr="0044638E">
        <w:rPr>
          <w:rStyle w:val="Emphasis"/>
          <w:rFonts w:ascii="Calibri" w:eastAsiaTheme="majorEastAsia" w:hAnsi="Calibri" w:cs="Calibri"/>
          <w:i w:val="0"/>
          <w:sz w:val="24"/>
          <w:szCs w:val="24"/>
        </w:rPr>
        <w:t>AI Magazine</w:t>
      </w:r>
      <w:r w:rsidRPr="0044638E">
        <w:rPr>
          <w:rFonts w:ascii="Calibri" w:hAnsi="Calibri" w:cs="Calibri"/>
          <w:sz w:val="24"/>
          <w:szCs w:val="24"/>
        </w:rPr>
        <w:t>, 38(3), pp.50-</w:t>
      </w:r>
      <w:proofErr w:type="gramStart"/>
      <w:r w:rsidRPr="0044638E">
        <w:rPr>
          <w:rFonts w:ascii="Calibri" w:hAnsi="Calibri" w:cs="Calibri"/>
          <w:sz w:val="24"/>
          <w:szCs w:val="24"/>
        </w:rPr>
        <w:t>57.</w:t>
      </w:r>
      <w:r w:rsidR="007866C8">
        <w:rPr>
          <w:rFonts w:ascii="Calibri" w:hAnsi="Calibri" w:cs="Calibri"/>
          <w:sz w:val="24"/>
          <w:szCs w:val="24"/>
        </w:rPr>
        <w:t>Available</w:t>
      </w:r>
      <w:proofErr w:type="gramEnd"/>
      <w:r w:rsidR="007866C8">
        <w:rPr>
          <w:rFonts w:ascii="Calibri" w:hAnsi="Calibri" w:cs="Calibri"/>
          <w:sz w:val="24"/>
          <w:szCs w:val="24"/>
        </w:rPr>
        <w:t xml:space="preserve"> at: </w:t>
      </w:r>
      <w:hyperlink r:id="rId17" w:history="1">
        <w:r w:rsidR="007866C8" w:rsidRPr="00EA4078">
          <w:rPr>
            <w:rStyle w:val="Hyperlink"/>
            <w:rFonts w:ascii="Calibri" w:hAnsi="Calibri" w:cs="Calibri"/>
            <w:sz w:val="24"/>
            <w:szCs w:val="24"/>
          </w:rPr>
          <w:t>https://ojs.aaai.org/aimagazine/index.php/aimagazine/article/view/2741/2647</w:t>
        </w:r>
      </w:hyperlink>
      <w:r w:rsidR="007866C8">
        <w:rPr>
          <w:rFonts w:ascii="Calibri" w:hAnsi="Calibri" w:cs="Calibri"/>
          <w:sz w:val="24"/>
          <w:szCs w:val="24"/>
        </w:rPr>
        <w:t xml:space="preserve">  </w:t>
      </w:r>
      <w:r w:rsidR="007866C8" w:rsidRPr="0044638E">
        <w:rPr>
          <w:rFonts w:ascii="Calibri" w:hAnsi="Calibri" w:cs="Calibri"/>
          <w:sz w:val="24"/>
          <w:szCs w:val="24"/>
        </w:rPr>
        <w:t xml:space="preserve">[Accessed </w:t>
      </w:r>
      <w:r w:rsidR="007866C8">
        <w:rPr>
          <w:rFonts w:ascii="Calibri" w:hAnsi="Calibri" w:cs="Calibri"/>
          <w:sz w:val="24"/>
          <w:szCs w:val="24"/>
        </w:rPr>
        <w:t>10</w:t>
      </w:r>
      <w:r w:rsidR="007866C8" w:rsidRPr="0044638E">
        <w:rPr>
          <w:rFonts w:ascii="Calibri" w:hAnsi="Calibri" w:cs="Calibri"/>
          <w:sz w:val="24"/>
          <w:szCs w:val="24"/>
        </w:rPr>
        <w:t xml:space="preserve"> Jul. 2025].</w:t>
      </w:r>
    </w:p>
    <w:p w14:paraId="0CD6C647" w14:textId="6DECBF21"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ICO, 2023. </w:t>
      </w:r>
      <w:r w:rsidRPr="0044638E">
        <w:rPr>
          <w:rStyle w:val="Emphasis"/>
          <w:rFonts w:ascii="Calibri" w:eastAsiaTheme="majorEastAsia" w:hAnsi="Calibri" w:cs="Calibri"/>
          <w:i w:val="0"/>
          <w:sz w:val="24"/>
          <w:szCs w:val="24"/>
        </w:rPr>
        <w:t>Monetary penalty notices issued for GDPR violations</w:t>
      </w:r>
      <w:r w:rsidRPr="0044638E">
        <w:rPr>
          <w:rFonts w:ascii="Calibri" w:hAnsi="Calibri" w:cs="Calibri"/>
          <w:sz w:val="24"/>
          <w:szCs w:val="24"/>
        </w:rPr>
        <w:t xml:space="preserve">. [online] Available at: </w:t>
      </w:r>
      <w:hyperlink r:id="rId18" w:history="1">
        <w:r w:rsidR="002E1716" w:rsidRPr="00EA4078">
          <w:rPr>
            <w:rStyle w:val="Hyperlink"/>
            <w:rFonts w:ascii="Calibri" w:hAnsi="Calibri" w:cs="Calibri"/>
            <w:sz w:val="24"/>
            <w:szCs w:val="24"/>
          </w:rPr>
          <w:t>https://ico.org.uk/media2/for-organisations/documents/2619985/ico-opinion-the-use-of-lfr-in-public-places-20210618.pdf</w:t>
        </w:r>
      </w:hyperlink>
      <w:r w:rsidR="002E1716">
        <w:rPr>
          <w:rFonts w:ascii="Calibri" w:hAnsi="Calibri" w:cs="Calibri"/>
          <w:sz w:val="24"/>
          <w:szCs w:val="24"/>
        </w:rPr>
        <w:t xml:space="preserve"> </w:t>
      </w:r>
      <w:r w:rsidRPr="0044638E">
        <w:rPr>
          <w:rFonts w:ascii="Calibri" w:hAnsi="Calibri" w:cs="Calibri"/>
          <w:sz w:val="24"/>
          <w:szCs w:val="24"/>
        </w:rPr>
        <w:t>[Accessed 1</w:t>
      </w:r>
      <w:r w:rsidR="002E1716">
        <w:rPr>
          <w:rFonts w:ascii="Calibri" w:hAnsi="Calibri" w:cs="Calibri"/>
          <w:sz w:val="24"/>
          <w:szCs w:val="24"/>
        </w:rPr>
        <w:t>1</w:t>
      </w:r>
      <w:r w:rsidRPr="0044638E">
        <w:rPr>
          <w:rFonts w:ascii="Calibri" w:hAnsi="Calibri" w:cs="Calibri"/>
          <w:sz w:val="24"/>
          <w:szCs w:val="24"/>
        </w:rPr>
        <w:t xml:space="preserve"> Jul. 2025].</w:t>
      </w:r>
    </w:p>
    <w:p w14:paraId="268150E2" w14:textId="0C2588D5"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Style w:val="Emphasis"/>
          <w:rFonts w:ascii="Calibri" w:eastAsiaTheme="majorEastAsia" w:hAnsi="Calibri" w:cs="Calibri"/>
          <w:i w:val="0"/>
          <w:sz w:val="24"/>
          <w:szCs w:val="24"/>
        </w:rPr>
        <w:lastRenderedPageBreak/>
        <w:t>Cybersecurity in UK FinTech Survey Report</w:t>
      </w:r>
      <w:r w:rsidR="002E1716">
        <w:rPr>
          <w:rStyle w:val="Emphasis"/>
          <w:rFonts w:ascii="Calibri" w:eastAsiaTheme="majorEastAsia" w:hAnsi="Calibri" w:cs="Calibri"/>
          <w:i w:val="0"/>
          <w:sz w:val="24"/>
          <w:szCs w:val="24"/>
        </w:rPr>
        <w:t xml:space="preserve"> 2025</w:t>
      </w:r>
      <w:r w:rsidRPr="0044638E">
        <w:rPr>
          <w:rFonts w:ascii="Calibri" w:hAnsi="Calibri" w:cs="Calibri"/>
          <w:sz w:val="24"/>
          <w:szCs w:val="24"/>
        </w:rPr>
        <w:t xml:space="preserve">. [online] Available at: </w:t>
      </w:r>
      <w:hyperlink r:id="rId19" w:history="1">
        <w:r w:rsidR="002E1716" w:rsidRPr="00EA4078">
          <w:rPr>
            <w:rStyle w:val="Hyperlink"/>
            <w:rFonts w:ascii="Calibri" w:hAnsi="Calibri" w:cs="Calibri"/>
            <w:sz w:val="24"/>
            <w:szCs w:val="24"/>
          </w:rPr>
          <w:t>https://assets.publishing.service.gov.uk/media/67cad8b18c1076c796a45c25/Cyber_Security_Sectoral_Analysis_Report_2025.pdf</w:t>
        </w:r>
      </w:hyperlink>
      <w:r w:rsidR="002E1716">
        <w:rPr>
          <w:rFonts w:ascii="Calibri" w:hAnsi="Calibri" w:cs="Calibri"/>
          <w:sz w:val="24"/>
          <w:szCs w:val="24"/>
        </w:rPr>
        <w:t xml:space="preserve"> </w:t>
      </w:r>
      <w:r w:rsidRPr="0044638E">
        <w:rPr>
          <w:rFonts w:ascii="Calibri" w:hAnsi="Calibri" w:cs="Calibri"/>
          <w:sz w:val="24"/>
          <w:szCs w:val="24"/>
        </w:rPr>
        <w:t>[Accessed 1</w:t>
      </w:r>
      <w:r w:rsidR="002E1716">
        <w:rPr>
          <w:rFonts w:ascii="Calibri" w:hAnsi="Calibri" w:cs="Calibri"/>
          <w:sz w:val="24"/>
          <w:szCs w:val="24"/>
        </w:rPr>
        <w:t>1</w:t>
      </w:r>
      <w:r w:rsidRPr="0044638E">
        <w:rPr>
          <w:rFonts w:ascii="Calibri" w:hAnsi="Calibri" w:cs="Calibri"/>
          <w:sz w:val="24"/>
          <w:szCs w:val="24"/>
        </w:rPr>
        <w:t xml:space="preserve"> Jul. 2025].</w:t>
      </w:r>
    </w:p>
    <w:p w14:paraId="4A08C5B1" w14:textId="05AB56F5"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ISO, 20</w:t>
      </w:r>
      <w:r w:rsidR="002E1716">
        <w:rPr>
          <w:rFonts w:ascii="Calibri" w:hAnsi="Calibri" w:cs="Calibri"/>
          <w:sz w:val="24"/>
          <w:szCs w:val="24"/>
        </w:rPr>
        <w:t>22</w:t>
      </w:r>
      <w:r w:rsidRPr="0044638E">
        <w:rPr>
          <w:rFonts w:ascii="Calibri" w:hAnsi="Calibri" w:cs="Calibri"/>
          <w:sz w:val="24"/>
          <w:szCs w:val="24"/>
        </w:rPr>
        <w:t xml:space="preserve">. </w:t>
      </w:r>
      <w:r w:rsidRPr="0044638E">
        <w:rPr>
          <w:rStyle w:val="Emphasis"/>
          <w:rFonts w:ascii="Calibri" w:eastAsiaTheme="majorEastAsia" w:hAnsi="Calibri" w:cs="Calibri"/>
          <w:i w:val="0"/>
          <w:sz w:val="24"/>
          <w:szCs w:val="24"/>
        </w:rPr>
        <w:t>ISO/IEC 27001:20</w:t>
      </w:r>
      <w:r w:rsidR="002E1716">
        <w:rPr>
          <w:rStyle w:val="Emphasis"/>
          <w:rFonts w:ascii="Calibri" w:eastAsiaTheme="majorEastAsia" w:hAnsi="Calibri" w:cs="Calibri"/>
          <w:i w:val="0"/>
          <w:sz w:val="24"/>
          <w:szCs w:val="24"/>
        </w:rPr>
        <w:t>22</w:t>
      </w:r>
      <w:r w:rsidRPr="0044638E">
        <w:rPr>
          <w:rStyle w:val="Emphasis"/>
          <w:rFonts w:ascii="Calibri" w:eastAsiaTheme="majorEastAsia" w:hAnsi="Calibri" w:cs="Calibri"/>
          <w:i w:val="0"/>
          <w:sz w:val="24"/>
          <w:szCs w:val="24"/>
        </w:rPr>
        <w:t xml:space="preserve"> - Information Security Management Systems</w:t>
      </w:r>
      <w:r w:rsidRPr="0044638E">
        <w:rPr>
          <w:rFonts w:ascii="Calibri" w:hAnsi="Calibri" w:cs="Calibri"/>
          <w:sz w:val="24"/>
          <w:szCs w:val="24"/>
        </w:rPr>
        <w:t xml:space="preserve">. International Organization for </w:t>
      </w:r>
      <w:proofErr w:type="spellStart"/>
      <w:r w:rsidRPr="0044638E">
        <w:rPr>
          <w:rFonts w:ascii="Calibri" w:hAnsi="Calibri" w:cs="Calibri"/>
          <w:sz w:val="24"/>
          <w:szCs w:val="24"/>
        </w:rPr>
        <w:t>Standardization.</w:t>
      </w:r>
      <w:r w:rsidR="002E1716">
        <w:rPr>
          <w:rFonts w:ascii="Calibri" w:hAnsi="Calibri" w:cs="Calibri"/>
          <w:sz w:val="24"/>
          <w:szCs w:val="24"/>
        </w:rPr>
        <w:t>Available</w:t>
      </w:r>
      <w:proofErr w:type="spellEnd"/>
      <w:r w:rsidR="002E1716">
        <w:rPr>
          <w:rFonts w:ascii="Calibri" w:hAnsi="Calibri" w:cs="Calibri"/>
          <w:sz w:val="24"/>
          <w:szCs w:val="24"/>
        </w:rPr>
        <w:t xml:space="preserve"> at: </w:t>
      </w:r>
      <w:hyperlink r:id="rId20" w:history="1">
        <w:r w:rsidR="002E1716" w:rsidRPr="00EA4078">
          <w:rPr>
            <w:rStyle w:val="Hyperlink"/>
            <w:rFonts w:ascii="Calibri" w:hAnsi="Calibri" w:cs="Calibri"/>
            <w:sz w:val="24"/>
            <w:szCs w:val="24"/>
          </w:rPr>
          <w:t>https://www.iso.org/standard/27001</w:t>
        </w:r>
      </w:hyperlink>
      <w:r w:rsidR="002E1716">
        <w:rPr>
          <w:rFonts w:ascii="Calibri" w:hAnsi="Calibri" w:cs="Calibri"/>
          <w:sz w:val="24"/>
          <w:szCs w:val="24"/>
        </w:rPr>
        <w:t xml:space="preserve"> </w:t>
      </w:r>
      <w:r w:rsidR="002E1716" w:rsidRPr="0044638E">
        <w:rPr>
          <w:rFonts w:ascii="Calibri" w:hAnsi="Calibri" w:cs="Calibri"/>
          <w:sz w:val="24"/>
          <w:szCs w:val="24"/>
        </w:rPr>
        <w:t>[Accessed 1</w:t>
      </w:r>
      <w:r w:rsidR="002E1716">
        <w:rPr>
          <w:rFonts w:ascii="Calibri" w:hAnsi="Calibri" w:cs="Calibri"/>
          <w:sz w:val="24"/>
          <w:szCs w:val="24"/>
        </w:rPr>
        <w:t>1</w:t>
      </w:r>
      <w:r w:rsidR="002E1716" w:rsidRPr="0044638E">
        <w:rPr>
          <w:rFonts w:ascii="Calibri" w:hAnsi="Calibri" w:cs="Calibri"/>
          <w:sz w:val="24"/>
          <w:szCs w:val="24"/>
        </w:rPr>
        <w:t xml:space="preserve"> Jul. 2025].</w:t>
      </w:r>
    </w:p>
    <w:p w14:paraId="4D94FE1A" w14:textId="0B2174F2"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Monzo</w:t>
      </w:r>
      <w:proofErr w:type="spellEnd"/>
      <w:r w:rsidRPr="0044638E">
        <w:rPr>
          <w:rFonts w:ascii="Calibri" w:hAnsi="Calibri" w:cs="Calibri"/>
          <w:sz w:val="24"/>
          <w:szCs w:val="24"/>
        </w:rPr>
        <w:t xml:space="preserve"> Bank, 202</w:t>
      </w:r>
      <w:r w:rsidR="00F21D91">
        <w:rPr>
          <w:rFonts w:ascii="Calibri" w:hAnsi="Calibri" w:cs="Calibri"/>
          <w:sz w:val="24"/>
          <w:szCs w:val="24"/>
        </w:rPr>
        <w:t>2</w:t>
      </w:r>
      <w:r w:rsidRPr="0044638E">
        <w:rPr>
          <w:rFonts w:ascii="Calibri" w:hAnsi="Calibri" w:cs="Calibri"/>
          <w:sz w:val="24"/>
          <w:szCs w:val="24"/>
        </w:rPr>
        <w:t xml:space="preserve">. </w:t>
      </w:r>
      <w:r w:rsidRPr="0044638E">
        <w:rPr>
          <w:rStyle w:val="Emphasis"/>
          <w:rFonts w:ascii="Calibri" w:eastAsiaTheme="majorEastAsia" w:hAnsi="Calibri" w:cs="Calibri"/>
          <w:i w:val="0"/>
          <w:sz w:val="24"/>
          <w:szCs w:val="24"/>
        </w:rPr>
        <w:t>Transparency and Security Reports</w:t>
      </w:r>
      <w:r w:rsidRPr="0044638E">
        <w:rPr>
          <w:rFonts w:ascii="Calibri" w:hAnsi="Calibri" w:cs="Calibri"/>
          <w:sz w:val="24"/>
          <w:szCs w:val="24"/>
        </w:rPr>
        <w:t xml:space="preserve">. [online] Available at: </w:t>
      </w:r>
      <w:hyperlink r:id="rId21" w:history="1">
        <w:r w:rsidR="002E1716" w:rsidRPr="00EA4078">
          <w:rPr>
            <w:rStyle w:val="Hyperlink"/>
            <w:rFonts w:ascii="Calibri" w:hAnsi="Calibri" w:cs="Calibri"/>
            <w:sz w:val="24"/>
            <w:szCs w:val="24"/>
          </w:rPr>
          <w:t>https://monzo.com/static/docs/monzo-annual-report-2022.pdf</w:t>
        </w:r>
      </w:hyperlink>
      <w:r w:rsidR="002E1716">
        <w:rPr>
          <w:rFonts w:ascii="Calibri" w:hAnsi="Calibri" w:cs="Calibri"/>
          <w:sz w:val="24"/>
          <w:szCs w:val="24"/>
        </w:rPr>
        <w:t xml:space="preserve"> </w:t>
      </w:r>
      <w:r w:rsidRPr="0044638E">
        <w:rPr>
          <w:rFonts w:ascii="Calibri" w:hAnsi="Calibri" w:cs="Calibri"/>
          <w:sz w:val="24"/>
          <w:szCs w:val="24"/>
        </w:rPr>
        <w:t>[Accessed 1</w:t>
      </w:r>
      <w:r w:rsidR="002E1716">
        <w:rPr>
          <w:rFonts w:ascii="Calibri" w:hAnsi="Calibri" w:cs="Calibri"/>
          <w:sz w:val="24"/>
          <w:szCs w:val="24"/>
        </w:rPr>
        <w:t>1</w:t>
      </w:r>
      <w:r w:rsidRPr="0044638E">
        <w:rPr>
          <w:rFonts w:ascii="Calibri" w:hAnsi="Calibri" w:cs="Calibri"/>
          <w:sz w:val="24"/>
          <w:szCs w:val="24"/>
        </w:rPr>
        <w:t xml:space="preserve"> Jul. 2025].</w:t>
      </w:r>
    </w:p>
    <w:p w14:paraId="67E50D60" w14:textId="02B25DE2"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National Institute of Standards and Technology (NIST), 2018. </w:t>
      </w:r>
      <w:r w:rsidRPr="0044638E">
        <w:rPr>
          <w:rStyle w:val="Emphasis"/>
          <w:rFonts w:ascii="Calibri" w:eastAsiaTheme="majorEastAsia" w:hAnsi="Calibri" w:cs="Calibri"/>
          <w:i w:val="0"/>
          <w:sz w:val="24"/>
          <w:szCs w:val="24"/>
        </w:rPr>
        <w:t>Framework for Improving Critical Infrastructure Cybersecurity</w:t>
      </w:r>
      <w:r w:rsidRPr="0044638E">
        <w:rPr>
          <w:rFonts w:ascii="Calibri" w:hAnsi="Calibri" w:cs="Calibri"/>
          <w:sz w:val="24"/>
          <w:szCs w:val="24"/>
        </w:rPr>
        <w:t xml:space="preserve">. [online] Available at: </w:t>
      </w:r>
      <w:hyperlink r:id="rId22" w:history="1">
        <w:r w:rsidRPr="0044638E">
          <w:rPr>
            <w:rStyle w:val="Hyperlink"/>
            <w:rFonts w:ascii="Calibri" w:eastAsiaTheme="majorEastAsia" w:hAnsi="Calibri" w:cs="Calibri"/>
            <w:sz w:val="24"/>
            <w:szCs w:val="24"/>
          </w:rPr>
          <w:t>https://nvlpubs.nist.gov/nistpubs/CSWP/NIST.CSWP.04162018.pdf</w:t>
        </w:r>
      </w:hyperlink>
      <w:r w:rsidRPr="0044638E">
        <w:rPr>
          <w:rFonts w:ascii="Calibri" w:hAnsi="Calibri" w:cs="Calibri"/>
          <w:sz w:val="24"/>
          <w:szCs w:val="24"/>
        </w:rPr>
        <w:t xml:space="preserve"> [Accessed 1</w:t>
      </w:r>
      <w:r w:rsidR="00F21D91">
        <w:rPr>
          <w:rFonts w:ascii="Calibri" w:hAnsi="Calibri" w:cs="Calibri"/>
          <w:sz w:val="24"/>
          <w:szCs w:val="24"/>
        </w:rPr>
        <w:t xml:space="preserve">2 </w:t>
      </w:r>
      <w:r w:rsidRPr="0044638E">
        <w:rPr>
          <w:rFonts w:ascii="Calibri" w:hAnsi="Calibri" w:cs="Calibri"/>
          <w:sz w:val="24"/>
          <w:szCs w:val="24"/>
        </w:rPr>
        <w:t>Jul. 2025].</w:t>
      </w:r>
    </w:p>
    <w:p w14:paraId="61B84461" w14:textId="2F6775CC"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Revolut</w:t>
      </w:r>
      <w:proofErr w:type="spellEnd"/>
      <w:r w:rsidRPr="0044638E">
        <w:rPr>
          <w:rFonts w:ascii="Calibri" w:hAnsi="Calibri" w:cs="Calibri"/>
          <w:sz w:val="24"/>
          <w:szCs w:val="24"/>
        </w:rPr>
        <w:t>, 202</w:t>
      </w:r>
      <w:r w:rsidR="00D07111">
        <w:rPr>
          <w:rFonts w:ascii="Calibri" w:hAnsi="Calibri" w:cs="Calibri"/>
          <w:sz w:val="24"/>
          <w:szCs w:val="24"/>
        </w:rPr>
        <w:t>3</w:t>
      </w:r>
      <w:r w:rsidRPr="0044638E">
        <w:rPr>
          <w:rFonts w:ascii="Calibri" w:hAnsi="Calibri" w:cs="Calibri"/>
          <w:sz w:val="24"/>
          <w:szCs w:val="24"/>
        </w:rPr>
        <w:t xml:space="preserve">. </w:t>
      </w:r>
      <w:r w:rsidRPr="0044638E">
        <w:rPr>
          <w:rStyle w:val="Emphasis"/>
          <w:rFonts w:ascii="Calibri" w:eastAsiaTheme="majorEastAsia" w:hAnsi="Calibri" w:cs="Calibri"/>
          <w:i w:val="0"/>
          <w:sz w:val="24"/>
          <w:szCs w:val="24"/>
        </w:rPr>
        <w:t>C</w:t>
      </w:r>
      <w:r w:rsidR="00D07111">
        <w:rPr>
          <w:rStyle w:val="Emphasis"/>
          <w:rFonts w:ascii="Calibri" w:eastAsiaTheme="majorEastAsia" w:hAnsi="Calibri" w:cs="Calibri"/>
          <w:i w:val="0"/>
          <w:sz w:val="24"/>
          <w:szCs w:val="24"/>
        </w:rPr>
        <w:t>onsumer Security Insight Report</w:t>
      </w:r>
      <w:r w:rsidRPr="0044638E">
        <w:rPr>
          <w:rFonts w:ascii="Calibri" w:hAnsi="Calibri" w:cs="Calibri"/>
          <w:sz w:val="24"/>
          <w:szCs w:val="24"/>
        </w:rPr>
        <w:t>. [online] Available at:</w:t>
      </w:r>
      <w:r w:rsidR="00D07111">
        <w:rPr>
          <w:rFonts w:ascii="Calibri" w:hAnsi="Calibri" w:cs="Calibri"/>
          <w:sz w:val="24"/>
          <w:szCs w:val="24"/>
        </w:rPr>
        <w:t xml:space="preserve"> </w:t>
      </w:r>
      <w:hyperlink r:id="rId23" w:history="1">
        <w:r w:rsidR="00D07111" w:rsidRPr="00EA4078">
          <w:rPr>
            <w:rStyle w:val="Hyperlink"/>
            <w:rFonts w:ascii="Calibri" w:hAnsi="Calibri" w:cs="Calibri"/>
            <w:sz w:val="24"/>
            <w:szCs w:val="24"/>
          </w:rPr>
          <w:t>https://assets.revolut.com/pdf/Revolut_Consumer_Security_Insight_Report_2023.pdf</w:t>
        </w:r>
      </w:hyperlink>
      <w:r w:rsidR="00D07111">
        <w:rPr>
          <w:rFonts w:ascii="Calibri" w:hAnsi="Calibri" w:cs="Calibri"/>
          <w:sz w:val="24"/>
          <w:szCs w:val="24"/>
        </w:rPr>
        <w:t xml:space="preserve"> </w:t>
      </w:r>
      <w:r w:rsidRPr="0044638E">
        <w:rPr>
          <w:rFonts w:ascii="Calibri" w:hAnsi="Calibri" w:cs="Calibri"/>
          <w:sz w:val="24"/>
          <w:szCs w:val="24"/>
        </w:rPr>
        <w:t>[Accessed 1</w:t>
      </w:r>
      <w:r w:rsidR="00D07111">
        <w:rPr>
          <w:rFonts w:ascii="Calibri" w:hAnsi="Calibri" w:cs="Calibri"/>
          <w:sz w:val="24"/>
          <w:szCs w:val="24"/>
        </w:rPr>
        <w:t>2</w:t>
      </w:r>
      <w:r w:rsidRPr="0044638E">
        <w:rPr>
          <w:rFonts w:ascii="Calibri" w:hAnsi="Calibri" w:cs="Calibri"/>
          <w:sz w:val="24"/>
          <w:szCs w:val="24"/>
        </w:rPr>
        <w:t xml:space="preserve"> Jul. 2025].</w:t>
      </w:r>
    </w:p>
    <w:p w14:paraId="08E8DA27" w14:textId="5B2FC9B5" w:rsidR="002C048D" w:rsidRPr="0044638E" w:rsidRDefault="002C048D" w:rsidP="002E1268">
      <w:pPr>
        <w:pStyle w:val="NoSpacing"/>
        <w:numPr>
          <w:ilvl w:val="0"/>
          <w:numId w:val="45"/>
        </w:numPr>
        <w:spacing w:line="360" w:lineRule="auto"/>
        <w:rPr>
          <w:rFonts w:ascii="Calibri" w:hAnsi="Calibri" w:cs="Calibri"/>
          <w:sz w:val="24"/>
          <w:szCs w:val="24"/>
        </w:rPr>
      </w:pPr>
      <w:r w:rsidRPr="0044638E">
        <w:rPr>
          <w:rFonts w:ascii="Calibri" w:hAnsi="Calibri" w:cs="Calibri"/>
          <w:sz w:val="24"/>
          <w:szCs w:val="24"/>
        </w:rPr>
        <w:t xml:space="preserve">Starling Bank, 2023. </w:t>
      </w:r>
      <w:r w:rsidR="00D07111">
        <w:rPr>
          <w:rStyle w:val="Emphasis"/>
          <w:rFonts w:ascii="Calibri" w:eastAsiaTheme="majorEastAsia" w:hAnsi="Calibri" w:cs="Calibri"/>
          <w:i w:val="0"/>
          <w:sz w:val="24"/>
          <w:szCs w:val="24"/>
        </w:rPr>
        <w:t>Governance</w:t>
      </w:r>
      <w:r w:rsidRPr="0044638E">
        <w:rPr>
          <w:rFonts w:ascii="Calibri" w:hAnsi="Calibri" w:cs="Calibri"/>
          <w:sz w:val="24"/>
          <w:szCs w:val="24"/>
        </w:rPr>
        <w:t xml:space="preserve">. [online] Available at: </w:t>
      </w:r>
      <w:hyperlink r:id="rId24" w:history="1">
        <w:r w:rsidR="00D07111" w:rsidRPr="00EA4078">
          <w:rPr>
            <w:rStyle w:val="Hyperlink"/>
            <w:rFonts w:ascii="Calibri" w:hAnsi="Calibri" w:cs="Calibri"/>
            <w:sz w:val="24"/>
            <w:szCs w:val="24"/>
          </w:rPr>
          <w:t>https://www.starlingbank.com/docs/annual-reports/Starling-Bank-Annual-Report-2023.pdf</w:t>
        </w:r>
      </w:hyperlink>
      <w:r w:rsidR="00D07111">
        <w:rPr>
          <w:rFonts w:ascii="Calibri" w:hAnsi="Calibri" w:cs="Calibri"/>
          <w:sz w:val="24"/>
          <w:szCs w:val="24"/>
        </w:rPr>
        <w:t xml:space="preserve"> </w:t>
      </w:r>
      <w:r w:rsidRPr="0044638E">
        <w:rPr>
          <w:rFonts w:ascii="Calibri" w:hAnsi="Calibri" w:cs="Calibri"/>
          <w:sz w:val="24"/>
          <w:szCs w:val="24"/>
        </w:rPr>
        <w:t>[Accessed 1</w:t>
      </w:r>
      <w:r w:rsidR="00D07111">
        <w:rPr>
          <w:rFonts w:ascii="Calibri" w:hAnsi="Calibri" w:cs="Calibri"/>
          <w:sz w:val="24"/>
          <w:szCs w:val="24"/>
        </w:rPr>
        <w:t xml:space="preserve">2 </w:t>
      </w:r>
      <w:r w:rsidRPr="0044638E">
        <w:rPr>
          <w:rFonts w:ascii="Calibri" w:hAnsi="Calibri" w:cs="Calibri"/>
          <w:sz w:val="24"/>
          <w:szCs w:val="24"/>
        </w:rPr>
        <w:t>Jul. 2025].</w:t>
      </w:r>
    </w:p>
    <w:p w14:paraId="6805AF8E" w14:textId="7DEFC0D8" w:rsidR="002C048D" w:rsidRPr="00551E61" w:rsidRDefault="002C048D" w:rsidP="00551E61">
      <w:pPr>
        <w:pStyle w:val="ListParagraph"/>
        <w:numPr>
          <w:ilvl w:val="0"/>
          <w:numId w:val="45"/>
        </w:numPr>
      </w:pPr>
      <w:r w:rsidRPr="00551E61">
        <w:rPr>
          <w:rFonts w:ascii="Calibri" w:hAnsi="Calibri" w:cs="Calibri"/>
          <w:sz w:val="24"/>
          <w:szCs w:val="24"/>
        </w:rPr>
        <w:t>UK Centre for Data Ethics and Innovation</w:t>
      </w:r>
      <w:r w:rsidR="00551E61" w:rsidRPr="00551E61">
        <w:rPr>
          <w:rFonts w:ascii="Calibri" w:hAnsi="Calibri" w:cs="Calibri"/>
          <w:sz w:val="24"/>
          <w:szCs w:val="24"/>
        </w:rPr>
        <w:t>,</w:t>
      </w:r>
      <w:r w:rsidR="00551E61" w:rsidRPr="00551E61">
        <w:t xml:space="preserve"> </w:t>
      </w:r>
      <w:r w:rsidR="00551E61">
        <w:t xml:space="preserve">Data (Use and Access) Act 2025: data protection and privacy changes </w:t>
      </w:r>
      <w:r w:rsidRPr="00551E61">
        <w:rPr>
          <w:rFonts w:ascii="Calibri" w:hAnsi="Calibri" w:cs="Calibri"/>
          <w:sz w:val="24"/>
          <w:szCs w:val="24"/>
        </w:rPr>
        <w:t xml:space="preserve"> [online] Available at: </w:t>
      </w:r>
      <w:hyperlink r:id="rId25" w:history="1">
        <w:r w:rsidR="00551E61" w:rsidRPr="00551E61">
          <w:rPr>
            <w:rStyle w:val="Hyperlink"/>
            <w:rFonts w:ascii="Calibri" w:hAnsi="Calibri" w:cs="Calibri"/>
            <w:sz w:val="24"/>
            <w:szCs w:val="24"/>
          </w:rPr>
          <w:t>https://www.gov.uk/guidance/data-use-and-access-act-2025-data-protection-and-privacy-changes</w:t>
        </w:r>
      </w:hyperlink>
      <w:r w:rsidR="00551E61" w:rsidRPr="00551E61">
        <w:rPr>
          <w:rFonts w:ascii="Calibri" w:hAnsi="Calibri" w:cs="Calibri"/>
          <w:sz w:val="24"/>
          <w:szCs w:val="24"/>
        </w:rPr>
        <w:t xml:space="preserve"> </w:t>
      </w:r>
      <w:r w:rsidR="00551E61">
        <w:rPr>
          <w:rFonts w:ascii="Calibri" w:hAnsi="Calibri" w:cs="Calibri"/>
          <w:sz w:val="24"/>
          <w:szCs w:val="24"/>
        </w:rPr>
        <w:t xml:space="preserve"> [</w:t>
      </w:r>
      <w:r w:rsidRPr="00551E61">
        <w:rPr>
          <w:rFonts w:ascii="Calibri" w:hAnsi="Calibri" w:cs="Calibri"/>
          <w:sz w:val="24"/>
          <w:szCs w:val="24"/>
        </w:rPr>
        <w:t>Accessed 1</w:t>
      </w:r>
      <w:r w:rsidR="00551E61" w:rsidRPr="00551E61">
        <w:rPr>
          <w:rFonts w:ascii="Calibri" w:hAnsi="Calibri" w:cs="Calibri"/>
          <w:sz w:val="24"/>
          <w:szCs w:val="24"/>
        </w:rPr>
        <w:t>3</w:t>
      </w:r>
      <w:r w:rsidRPr="00551E61">
        <w:rPr>
          <w:rFonts w:ascii="Calibri" w:hAnsi="Calibri" w:cs="Calibri"/>
          <w:sz w:val="24"/>
          <w:szCs w:val="24"/>
        </w:rPr>
        <w:t xml:space="preserve"> Jul. 2025].</w:t>
      </w:r>
    </w:p>
    <w:p w14:paraId="7ABE80FA" w14:textId="0B682D9B"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t>Zetzsche</w:t>
      </w:r>
      <w:proofErr w:type="spellEnd"/>
      <w:r w:rsidRPr="0044638E">
        <w:rPr>
          <w:rFonts w:ascii="Calibri" w:hAnsi="Calibri" w:cs="Calibri"/>
          <w:sz w:val="24"/>
          <w:szCs w:val="24"/>
        </w:rPr>
        <w:t xml:space="preserve">, D.A., Buckley, R.P., </w:t>
      </w:r>
      <w:proofErr w:type="spellStart"/>
      <w:r w:rsidRPr="0044638E">
        <w:rPr>
          <w:rFonts w:ascii="Calibri" w:hAnsi="Calibri" w:cs="Calibri"/>
          <w:sz w:val="24"/>
          <w:szCs w:val="24"/>
        </w:rPr>
        <w:t>Arner</w:t>
      </w:r>
      <w:proofErr w:type="spellEnd"/>
      <w:r w:rsidRPr="0044638E">
        <w:rPr>
          <w:rFonts w:ascii="Calibri" w:hAnsi="Calibri" w:cs="Calibri"/>
          <w:sz w:val="24"/>
          <w:szCs w:val="24"/>
        </w:rPr>
        <w:t xml:space="preserve">, D.W. and </w:t>
      </w:r>
      <w:proofErr w:type="spellStart"/>
      <w:r w:rsidRPr="0044638E">
        <w:rPr>
          <w:rFonts w:ascii="Calibri" w:hAnsi="Calibri" w:cs="Calibri"/>
          <w:sz w:val="24"/>
          <w:szCs w:val="24"/>
        </w:rPr>
        <w:t>Barberis</w:t>
      </w:r>
      <w:proofErr w:type="spellEnd"/>
      <w:r w:rsidRPr="0044638E">
        <w:rPr>
          <w:rFonts w:ascii="Calibri" w:hAnsi="Calibri" w:cs="Calibri"/>
          <w:sz w:val="24"/>
          <w:szCs w:val="24"/>
        </w:rPr>
        <w:t xml:space="preserve">, J.N., 2020. Regulating LIBRA: The Transformative Potential of Facebook’s Cryptocurrency and Possible Regulatory Responses. </w:t>
      </w:r>
      <w:r w:rsidRPr="0044638E">
        <w:rPr>
          <w:rStyle w:val="Emphasis"/>
          <w:rFonts w:ascii="Calibri" w:eastAsiaTheme="majorEastAsia" w:hAnsi="Calibri" w:cs="Calibri"/>
          <w:i w:val="0"/>
          <w:sz w:val="24"/>
          <w:szCs w:val="24"/>
        </w:rPr>
        <w:t>University of New South Wales Law Research Series</w:t>
      </w:r>
      <w:r w:rsidRPr="0044638E">
        <w:rPr>
          <w:rFonts w:ascii="Calibri" w:hAnsi="Calibri" w:cs="Calibri"/>
          <w:sz w:val="24"/>
          <w:szCs w:val="24"/>
        </w:rPr>
        <w:t>, (61</w:t>
      </w:r>
      <w:proofErr w:type="gramStart"/>
      <w:r w:rsidRPr="0044638E">
        <w:rPr>
          <w:rFonts w:ascii="Calibri" w:hAnsi="Calibri" w:cs="Calibri"/>
          <w:sz w:val="24"/>
          <w:szCs w:val="24"/>
        </w:rPr>
        <w:t>).</w:t>
      </w:r>
      <w:r w:rsidR="00551E61">
        <w:rPr>
          <w:rFonts w:ascii="Calibri" w:hAnsi="Calibri" w:cs="Calibri"/>
          <w:sz w:val="24"/>
          <w:szCs w:val="24"/>
        </w:rPr>
        <w:t>Available</w:t>
      </w:r>
      <w:proofErr w:type="gramEnd"/>
      <w:r w:rsidR="00551E61">
        <w:rPr>
          <w:rFonts w:ascii="Calibri" w:hAnsi="Calibri" w:cs="Calibri"/>
          <w:sz w:val="24"/>
          <w:szCs w:val="24"/>
        </w:rPr>
        <w:t xml:space="preserve"> at: </w:t>
      </w:r>
      <w:hyperlink r:id="rId26" w:history="1">
        <w:r w:rsidR="00551E61" w:rsidRPr="00EA4078">
          <w:rPr>
            <w:rStyle w:val="Hyperlink"/>
            <w:rFonts w:ascii="Calibri" w:hAnsi="Calibri" w:cs="Calibri"/>
            <w:sz w:val="24"/>
            <w:szCs w:val="24"/>
          </w:rPr>
          <w:t>https://download.ssrn.com/19/09/16/ssrn_id3454465_code1617212.pdf</w:t>
        </w:r>
      </w:hyperlink>
      <w:r w:rsidR="00551E61">
        <w:rPr>
          <w:rFonts w:ascii="Calibri" w:hAnsi="Calibri" w:cs="Calibri"/>
          <w:sz w:val="24"/>
          <w:szCs w:val="24"/>
        </w:rPr>
        <w:t xml:space="preserve"> [[</w:t>
      </w:r>
      <w:r w:rsidR="00551E61" w:rsidRPr="00551E61">
        <w:rPr>
          <w:rFonts w:ascii="Calibri" w:hAnsi="Calibri" w:cs="Calibri"/>
          <w:sz w:val="24"/>
          <w:szCs w:val="24"/>
        </w:rPr>
        <w:t>Accessed 1</w:t>
      </w:r>
      <w:r w:rsidR="00551E61">
        <w:rPr>
          <w:rFonts w:ascii="Calibri" w:hAnsi="Calibri" w:cs="Calibri"/>
          <w:sz w:val="24"/>
          <w:szCs w:val="24"/>
        </w:rPr>
        <w:t>4</w:t>
      </w:r>
      <w:r w:rsidR="00551E61" w:rsidRPr="00551E61">
        <w:rPr>
          <w:rFonts w:ascii="Calibri" w:hAnsi="Calibri" w:cs="Calibri"/>
          <w:sz w:val="24"/>
          <w:szCs w:val="24"/>
        </w:rPr>
        <w:t xml:space="preserve"> Jul. 2025].</w:t>
      </w:r>
    </w:p>
    <w:p w14:paraId="7966F1B3" w14:textId="75873BD7" w:rsidR="002C048D" w:rsidRPr="0044638E" w:rsidRDefault="002C048D" w:rsidP="002E1268">
      <w:pPr>
        <w:pStyle w:val="NoSpacing"/>
        <w:numPr>
          <w:ilvl w:val="0"/>
          <w:numId w:val="45"/>
        </w:numPr>
        <w:spacing w:line="360" w:lineRule="auto"/>
        <w:rPr>
          <w:rFonts w:ascii="Calibri" w:hAnsi="Calibri" w:cs="Calibri"/>
          <w:sz w:val="24"/>
          <w:szCs w:val="24"/>
        </w:rPr>
      </w:pPr>
      <w:proofErr w:type="spellStart"/>
      <w:r w:rsidRPr="0044638E">
        <w:rPr>
          <w:rFonts w:ascii="Calibri" w:hAnsi="Calibri" w:cs="Calibri"/>
          <w:sz w:val="24"/>
          <w:szCs w:val="24"/>
        </w:rPr>
        <w:lastRenderedPageBreak/>
        <w:t>Zopa</w:t>
      </w:r>
      <w:proofErr w:type="spellEnd"/>
      <w:r w:rsidRPr="0044638E">
        <w:rPr>
          <w:rFonts w:ascii="Calibri" w:hAnsi="Calibri" w:cs="Calibri"/>
          <w:sz w:val="24"/>
          <w:szCs w:val="24"/>
        </w:rPr>
        <w:t xml:space="preserve"> Bank, 2023. </w:t>
      </w:r>
      <w:r w:rsidRPr="0044638E">
        <w:rPr>
          <w:rStyle w:val="Emphasis"/>
          <w:rFonts w:ascii="Calibri" w:eastAsiaTheme="majorEastAsia" w:hAnsi="Calibri" w:cs="Calibri"/>
          <w:i w:val="0"/>
          <w:sz w:val="24"/>
          <w:szCs w:val="24"/>
        </w:rPr>
        <w:t>Security and Compliance Centre</w:t>
      </w:r>
      <w:r w:rsidRPr="0044638E">
        <w:rPr>
          <w:rFonts w:ascii="Calibri" w:hAnsi="Calibri" w:cs="Calibri"/>
          <w:sz w:val="24"/>
          <w:szCs w:val="24"/>
        </w:rPr>
        <w:t xml:space="preserve">. [online] Available at: </w:t>
      </w:r>
      <w:hyperlink r:id="rId27" w:history="1">
        <w:r w:rsidR="00551E61" w:rsidRPr="00EA4078">
          <w:rPr>
            <w:rStyle w:val="Hyperlink"/>
            <w:rFonts w:ascii="Calibri" w:hAnsi="Calibri" w:cs="Calibri"/>
            <w:sz w:val="24"/>
            <w:szCs w:val="24"/>
          </w:rPr>
          <w:t>https://www.datocms-assets.com/23873/1713257733-zopa-group-2023-annual-report-signed_web-version.pdf</w:t>
        </w:r>
      </w:hyperlink>
      <w:r w:rsidR="00551E61">
        <w:rPr>
          <w:rFonts w:ascii="Calibri" w:hAnsi="Calibri" w:cs="Calibri"/>
          <w:sz w:val="24"/>
          <w:szCs w:val="24"/>
        </w:rPr>
        <w:t xml:space="preserve"> </w:t>
      </w:r>
      <w:r w:rsidRPr="0044638E">
        <w:rPr>
          <w:rFonts w:ascii="Calibri" w:hAnsi="Calibri" w:cs="Calibri"/>
          <w:sz w:val="24"/>
          <w:szCs w:val="24"/>
        </w:rPr>
        <w:t>[Accessed 14 Jul. 2025].</w:t>
      </w:r>
    </w:p>
    <w:p w14:paraId="68BCE1E6" w14:textId="78F6BB5D" w:rsidR="002E7CDB" w:rsidRPr="0044638E" w:rsidRDefault="002E7CDB" w:rsidP="0044638E">
      <w:pPr>
        <w:pStyle w:val="NoSpacing"/>
        <w:spacing w:line="360" w:lineRule="auto"/>
        <w:rPr>
          <w:rFonts w:ascii="Calibri" w:hAnsi="Calibri" w:cs="Calibri"/>
          <w:sz w:val="24"/>
          <w:szCs w:val="24"/>
        </w:rPr>
      </w:pPr>
    </w:p>
    <w:sectPr w:rsidR="002E7CDB" w:rsidRPr="0044638E" w:rsidSect="00034616">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8CB5" w14:textId="77777777" w:rsidR="00016930" w:rsidRDefault="00016930" w:rsidP="00830B7F">
      <w:pPr>
        <w:spacing w:after="0" w:line="240" w:lineRule="auto"/>
      </w:pPr>
      <w:r>
        <w:separator/>
      </w:r>
    </w:p>
  </w:endnote>
  <w:endnote w:type="continuationSeparator" w:id="0">
    <w:p w14:paraId="50D83A34" w14:textId="77777777" w:rsidR="00016930" w:rsidRDefault="00016930" w:rsidP="0083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338279248"/>
      <w:docPartObj>
        <w:docPartGallery w:val="Page Numbers (Bottom of Page)"/>
        <w:docPartUnique/>
      </w:docPartObj>
    </w:sdtPr>
    <w:sdtEndPr/>
    <w:sdtContent>
      <w:sdt>
        <w:sdtPr>
          <w:rPr>
            <w:sz w:val="18"/>
            <w:szCs w:val="18"/>
          </w:rPr>
          <w:id w:val="-1705238520"/>
          <w:docPartObj>
            <w:docPartGallery w:val="Page Numbers (Top of Page)"/>
            <w:docPartUnique/>
          </w:docPartObj>
        </w:sdtPr>
        <w:sdtEndPr/>
        <w:sdtContent>
          <w:p w14:paraId="25053CCA" w14:textId="1A06C383" w:rsidR="00551E61" w:rsidRPr="00452C5F" w:rsidRDefault="00551E61">
            <w:pPr>
              <w:pStyle w:val="Footer"/>
              <w:rPr>
                <w:sz w:val="18"/>
                <w:szCs w:val="18"/>
              </w:rPr>
            </w:pPr>
            <w:r w:rsidRPr="00452C5F">
              <w:rPr>
                <w:sz w:val="18"/>
                <w:szCs w:val="18"/>
              </w:rPr>
              <w:t xml:space="preserve">Page </w:t>
            </w:r>
            <w:r w:rsidRPr="00452C5F">
              <w:rPr>
                <w:b/>
                <w:bCs/>
                <w:sz w:val="18"/>
                <w:szCs w:val="18"/>
              </w:rPr>
              <w:fldChar w:fldCharType="begin"/>
            </w:r>
            <w:r w:rsidRPr="00452C5F">
              <w:rPr>
                <w:b/>
                <w:bCs/>
                <w:sz w:val="18"/>
                <w:szCs w:val="18"/>
              </w:rPr>
              <w:instrText xml:space="preserve"> PAGE </w:instrText>
            </w:r>
            <w:r w:rsidRPr="00452C5F">
              <w:rPr>
                <w:b/>
                <w:bCs/>
                <w:sz w:val="18"/>
                <w:szCs w:val="18"/>
              </w:rPr>
              <w:fldChar w:fldCharType="separate"/>
            </w:r>
            <w:r w:rsidRPr="00452C5F">
              <w:rPr>
                <w:b/>
                <w:bCs/>
                <w:noProof/>
                <w:sz w:val="18"/>
                <w:szCs w:val="18"/>
              </w:rPr>
              <w:t>2</w:t>
            </w:r>
            <w:r w:rsidRPr="00452C5F">
              <w:rPr>
                <w:b/>
                <w:bCs/>
                <w:sz w:val="18"/>
                <w:szCs w:val="18"/>
              </w:rPr>
              <w:fldChar w:fldCharType="end"/>
            </w:r>
            <w:r w:rsidRPr="00452C5F">
              <w:rPr>
                <w:sz w:val="18"/>
                <w:szCs w:val="18"/>
              </w:rPr>
              <w:t xml:space="preserve"> of </w:t>
            </w:r>
            <w:r w:rsidRPr="00452C5F">
              <w:rPr>
                <w:b/>
                <w:bCs/>
                <w:sz w:val="18"/>
                <w:szCs w:val="18"/>
              </w:rPr>
              <w:fldChar w:fldCharType="begin"/>
            </w:r>
            <w:r w:rsidRPr="00452C5F">
              <w:rPr>
                <w:b/>
                <w:bCs/>
                <w:sz w:val="18"/>
                <w:szCs w:val="18"/>
              </w:rPr>
              <w:instrText xml:space="preserve"> NUMPAGES  </w:instrText>
            </w:r>
            <w:r w:rsidRPr="00452C5F">
              <w:rPr>
                <w:b/>
                <w:bCs/>
                <w:sz w:val="18"/>
                <w:szCs w:val="18"/>
              </w:rPr>
              <w:fldChar w:fldCharType="separate"/>
            </w:r>
            <w:r w:rsidRPr="00452C5F">
              <w:rPr>
                <w:b/>
                <w:bCs/>
                <w:noProof/>
                <w:sz w:val="18"/>
                <w:szCs w:val="18"/>
              </w:rPr>
              <w:t>2</w:t>
            </w:r>
            <w:r w:rsidRPr="00452C5F">
              <w:rPr>
                <w:b/>
                <w:bCs/>
                <w:sz w:val="18"/>
                <w:szCs w:val="18"/>
              </w:rPr>
              <w:fldChar w:fldCharType="end"/>
            </w:r>
            <w:r w:rsidRPr="00452C5F">
              <w:rPr>
                <w:b/>
                <w:bCs/>
                <w:sz w:val="18"/>
                <w:szCs w:val="18"/>
              </w:rPr>
              <w:t xml:space="preserve">                                                                                                     </w:t>
            </w:r>
            <w:r>
              <w:rPr>
                <w:b/>
                <w:bCs/>
                <w:sz w:val="18"/>
                <w:szCs w:val="18"/>
              </w:rPr>
              <w:t xml:space="preserve"> </w:t>
            </w:r>
            <w:r w:rsidRPr="00452C5F">
              <w:rPr>
                <w:b/>
                <w:bCs/>
                <w:sz w:val="18"/>
                <w:szCs w:val="18"/>
              </w:rPr>
              <w:t>University of Surrey – MSc Fintech &amp; Policy</w:t>
            </w:r>
          </w:p>
        </w:sdtContent>
      </w:sdt>
    </w:sdtContent>
  </w:sdt>
  <w:p w14:paraId="674A6D2B" w14:textId="662F73A4" w:rsidR="00551E61" w:rsidRPr="00830B7F" w:rsidRDefault="00551E61">
    <w:pPr>
      <w:pStyle w:val="Footer"/>
      <w:rPr>
        <w:sz w:val="18"/>
        <w:szCs w:val="18"/>
      </w:rPr>
    </w:pP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4992" w14:textId="77777777" w:rsidR="00016930" w:rsidRDefault="00016930" w:rsidP="00830B7F">
      <w:pPr>
        <w:spacing w:after="0" w:line="240" w:lineRule="auto"/>
      </w:pPr>
      <w:r>
        <w:separator/>
      </w:r>
    </w:p>
  </w:footnote>
  <w:footnote w:type="continuationSeparator" w:id="0">
    <w:p w14:paraId="1352506C" w14:textId="77777777" w:rsidR="00016930" w:rsidRDefault="00016930" w:rsidP="00830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DC110" w14:textId="330BAC6B" w:rsidR="00551E61" w:rsidRPr="00830B7F" w:rsidRDefault="00551E61">
    <w:pPr>
      <w:pStyle w:val="Header"/>
      <w:rPr>
        <w:rFonts w:asciiTheme="majorHAnsi" w:hAnsiTheme="majorHAnsi" w:cstheme="majorHAnsi"/>
        <w:sz w:val="18"/>
        <w:szCs w:val="18"/>
      </w:rPr>
    </w:pPr>
    <w:r w:rsidRPr="00830B7F">
      <w:rPr>
        <w:rFonts w:asciiTheme="majorHAnsi" w:hAnsiTheme="majorHAnsi" w:cstheme="majorHAnsi"/>
        <w:sz w:val="18"/>
        <w:szCs w:val="18"/>
      </w:rPr>
      <w:t>Data Governance &amp; Security</w:t>
    </w:r>
    <w:r>
      <w:rPr>
        <w:rFonts w:asciiTheme="majorHAnsi" w:hAnsiTheme="majorHAnsi" w:cstheme="majorHAnsi"/>
        <w:sz w:val="18"/>
        <w:szCs w:val="18"/>
      </w:rPr>
      <w:t xml:space="preserve"> challenges</w:t>
    </w:r>
    <w:r w:rsidRPr="00830B7F">
      <w:rPr>
        <w:rFonts w:asciiTheme="majorHAnsi" w:hAnsiTheme="majorHAnsi" w:cstheme="majorHAnsi"/>
        <w:sz w:val="18"/>
        <w:szCs w:val="18"/>
      </w:rPr>
      <w:t xml:space="preserve"> in Fintech                             </w:t>
    </w:r>
    <w:r>
      <w:rPr>
        <w:rFonts w:asciiTheme="majorHAnsi" w:hAnsiTheme="majorHAnsi" w:cstheme="majorHAnsi"/>
        <w:sz w:val="18"/>
        <w:szCs w:val="18"/>
      </w:rPr>
      <w:t xml:space="preserve">                     </w:t>
    </w:r>
    <w:r w:rsidRPr="00830B7F">
      <w:rPr>
        <w:rFonts w:asciiTheme="majorHAnsi" w:hAnsiTheme="majorHAnsi" w:cstheme="majorHAnsi"/>
        <w:sz w:val="18"/>
        <w:szCs w:val="18"/>
      </w:rPr>
      <w:t>MANM521 – Cases in FinTech and Policy</w:t>
    </w:r>
  </w:p>
  <w:p w14:paraId="79518DC2" w14:textId="77777777" w:rsidR="00551E61" w:rsidRDefault="0055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50865"/>
    <w:multiLevelType w:val="multilevel"/>
    <w:tmpl w:val="9A7C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D42B5"/>
    <w:multiLevelType w:val="hybridMultilevel"/>
    <w:tmpl w:val="C930D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6D750F"/>
    <w:multiLevelType w:val="multilevel"/>
    <w:tmpl w:val="3250981E"/>
    <w:lvl w:ilvl="0">
      <w:start w:val="1"/>
      <w:numFmt w:val="decimal"/>
      <w:lvlText w:val="%1."/>
      <w:lvlJc w:val="left"/>
      <w:pPr>
        <w:ind w:left="720" w:hanging="360"/>
      </w:pPr>
    </w:lvl>
    <w:lvl w:ilvl="1">
      <w:start w:val="1"/>
      <w:numFmt w:val="decimal"/>
      <w:isLgl/>
      <w:lvlText w:val="%1.%2"/>
      <w:lvlJc w:val="left"/>
      <w:pPr>
        <w:ind w:left="13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12" w15:restartNumberingAfterBreak="0">
    <w:nsid w:val="102F1D37"/>
    <w:multiLevelType w:val="multilevel"/>
    <w:tmpl w:val="15A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11185"/>
    <w:multiLevelType w:val="multilevel"/>
    <w:tmpl w:val="B6602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87AA0"/>
    <w:multiLevelType w:val="multilevel"/>
    <w:tmpl w:val="5F5C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77B67"/>
    <w:multiLevelType w:val="multilevel"/>
    <w:tmpl w:val="ED32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F7538"/>
    <w:multiLevelType w:val="hybridMultilevel"/>
    <w:tmpl w:val="4A9A8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643236"/>
    <w:multiLevelType w:val="multilevel"/>
    <w:tmpl w:val="E5F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A4AF2"/>
    <w:multiLevelType w:val="hybridMultilevel"/>
    <w:tmpl w:val="BCE65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046DF"/>
    <w:multiLevelType w:val="hybridMultilevel"/>
    <w:tmpl w:val="546E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11A16"/>
    <w:multiLevelType w:val="hybridMultilevel"/>
    <w:tmpl w:val="EE9C8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BA4DCA"/>
    <w:multiLevelType w:val="multilevel"/>
    <w:tmpl w:val="08DC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E200B"/>
    <w:multiLevelType w:val="multilevel"/>
    <w:tmpl w:val="FA2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33214"/>
    <w:multiLevelType w:val="hybridMultilevel"/>
    <w:tmpl w:val="CD8AC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650954"/>
    <w:multiLevelType w:val="multilevel"/>
    <w:tmpl w:val="1FBC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A7A33"/>
    <w:multiLevelType w:val="multilevel"/>
    <w:tmpl w:val="779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A4083"/>
    <w:multiLevelType w:val="multilevel"/>
    <w:tmpl w:val="1312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EC029A"/>
    <w:multiLevelType w:val="multilevel"/>
    <w:tmpl w:val="0BC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344EF"/>
    <w:multiLevelType w:val="multilevel"/>
    <w:tmpl w:val="8E7A4F74"/>
    <w:lvl w:ilvl="0">
      <w:start w:val="3"/>
      <w:numFmt w:val="decimal"/>
      <w:lvlText w:val="%1"/>
      <w:lvlJc w:val="left"/>
      <w:pPr>
        <w:ind w:left="360" w:hanging="360"/>
      </w:pPr>
      <w:rPr>
        <w:rFonts w:hint="default"/>
      </w:rPr>
    </w:lvl>
    <w:lvl w:ilvl="1">
      <w:start w:val="4"/>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9" w15:restartNumberingAfterBreak="0">
    <w:nsid w:val="54115558"/>
    <w:multiLevelType w:val="hybridMultilevel"/>
    <w:tmpl w:val="A622D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6B64F2"/>
    <w:multiLevelType w:val="multilevel"/>
    <w:tmpl w:val="3250981E"/>
    <w:lvl w:ilvl="0">
      <w:start w:val="1"/>
      <w:numFmt w:val="decimal"/>
      <w:lvlText w:val="%1."/>
      <w:lvlJc w:val="left"/>
      <w:pPr>
        <w:ind w:left="720" w:hanging="360"/>
      </w:pPr>
    </w:lvl>
    <w:lvl w:ilvl="1">
      <w:start w:val="1"/>
      <w:numFmt w:val="decimal"/>
      <w:isLgl/>
      <w:lvlText w:val="%1.%2"/>
      <w:lvlJc w:val="left"/>
      <w:pPr>
        <w:ind w:left="13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31" w15:restartNumberingAfterBreak="0">
    <w:nsid w:val="56E2764A"/>
    <w:multiLevelType w:val="multilevel"/>
    <w:tmpl w:val="9DB01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6D3A9C"/>
    <w:multiLevelType w:val="multilevel"/>
    <w:tmpl w:val="4650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F80DA3"/>
    <w:multiLevelType w:val="hybridMultilevel"/>
    <w:tmpl w:val="C4905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2F6139"/>
    <w:multiLevelType w:val="multilevel"/>
    <w:tmpl w:val="3D3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84D39"/>
    <w:multiLevelType w:val="multilevel"/>
    <w:tmpl w:val="B05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00C64"/>
    <w:multiLevelType w:val="multilevel"/>
    <w:tmpl w:val="242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A68AB"/>
    <w:multiLevelType w:val="multilevel"/>
    <w:tmpl w:val="77E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33A1"/>
    <w:multiLevelType w:val="hybridMultilevel"/>
    <w:tmpl w:val="B8CE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697D65"/>
    <w:multiLevelType w:val="multilevel"/>
    <w:tmpl w:val="1312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EF0AAF"/>
    <w:multiLevelType w:val="hybridMultilevel"/>
    <w:tmpl w:val="02FE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173DF0"/>
    <w:multiLevelType w:val="multilevel"/>
    <w:tmpl w:val="B45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631D8"/>
    <w:multiLevelType w:val="multilevel"/>
    <w:tmpl w:val="CCB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D3E43"/>
    <w:multiLevelType w:val="multilevel"/>
    <w:tmpl w:val="C81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66554"/>
    <w:multiLevelType w:val="hybridMultilevel"/>
    <w:tmpl w:val="0916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24"/>
  </w:num>
  <w:num w:numId="12">
    <w:abstractNumId w:val="35"/>
  </w:num>
  <w:num w:numId="13">
    <w:abstractNumId w:val="37"/>
  </w:num>
  <w:num w:numId="14">
    <w:abstractNumId w:val="13"/>
  </w:num>
  <w:num w:numId="15">
    <w:abstractNumId w:val="41"/>
  </w:num>
  <w:num w:numId="16">
    <w:abstractNumId w:val="43"/>
  </w:num>
  <w:num w:numId="17">
    <w:abstractNumId w:val="36"/>
  </w:num>
  <w:num w:numId="18">
    <w:abstractNumId w:val="12"/>
  </w:num>
  <w:num w:numId="19">
    <w:abstractNumId w:val="9"/>
  </w:num>
  <w:num w:numId="20">
    <w:abstractNumId w:val="34"/>
  </w:num>
  <w:num w:numId="21">
    <w:abstractNumId w:val="17"/>
  </w:num>
  <w:num w:numId="22">
    <w:abstractNumId w:val="22"/>
  </w:num>
  <w:num w:numId="23">
    <w:abstractNumId w:val="15"/>
  </w:num>
  <w:num w:numId="24">
    <w:abstractNumId w:val="14"/>
  </w:num>
  <w:num w:numId="25">
    <w:abstractNumId w:val="31"/>
  </w:num>
  <w:num w:numId="26">
    <w:abstractNumId w:val="21"/>
  </w:num>
  <w:num w:numId="27">
    <w:abstractNumId w:val="27"/>
  </w:num>
  <w:num w:numId="28">
    <w:abstractNumId w:val="42"/>
  </w:num>
  <w:num w:numId="29">
    <w:abstractNumId w:val="39"/>
  </w:num>
  <w:num w:numId="30">
    <w:abstractNumId w:val="26"/>
  </w:num>
  <w:num w:numId="31">
    <w:abstractNumId w:val="28"/>
  </w:num>
  <w:num w:numId="32">
    <w:abstractNumId w:val="30"/>
  </w:num>
  <w:num w:numId="33">
    <w:abstractNumId w:val="32"/>
  </w:num>
  <w:num w:numId="34">
    <w:abstractNumId w:val="11"/>
  </w:num>
  <w:num w:numId="35">
    <w:abstractNumId w:val="18"/>
  </w:num>
  <w:num w:numId="36">
    <w:abstractNumId w:val="16"/>
  </w:num>
  <w:num w:numId="37">
    <w:abstractNumId w:val="23"/>
  </w:num>
  <w:num w:numId="38">
    <w:abstractNumId w:val="20"/>
  </w:num>
  <w:num w:numId="39">
    <w:abstractNumId w:val="19"/>
  </w:num>
  <w:num w:numId="40">
    <w:abstractNumId w:val="33"/>
  </w:num>
  <w:num w:numId="41">
    <w:abstractNumId w:val="10"/>
  </w:num>
  <w:num w:numId="42">
    <w:abstractNumId w:val="38"/>
  </w:num>
  <w:num w:numId="43">
    <w:abstractNumId w:val="29"/>
  </w:num>
  <w:num w:numId="44">
    <w:abstractNumId w:val="4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B5E"/>
    <w:rsid w:val="00016930"/>
    <w:rsid w:val="00034616"/>
    <w:rsid w:val="0006063C"/>
    <w:rsid w:val="0015074B"/>
    <w:rsid w:val="001517AE"/>
    <w:rsid w:val="001A64B1"/>
    <w:rsid w:val="00244B69"/>
    <w:rsid w:val="0029639D"/>
    <w:rsid w:val="002B166C"/>
    <w:rsid w:val="002C048D"/>
    <w:rsid w:val="002E1268"/>
    <w:rsid w:val="002E1716"/>
    <w:rsid w:val="002E7CDB"/>
    <w:rsid w:val="00326F90"/>
    <w:rsid w:val="0044638E"/>
    <w:rsid w:val="00452C5F"/>
    <w:rsid w:val="00551E61"/>
    <w:rsid w:val="00596453"/>
    <w:rsid w:val="005D7CB1"/>
    <w:rsid w:val="007866C8"/>
    <w:rsid w:val="007A51E2"/>
    <w:rsid w:val="00830B7F"/>
    <w:rsid w:val="00833D67"/>
    <w:rsid w:val="00AA1D8D"/>
    <w:rsid w:val="00AC0F64"/>
    <w:rsid w:val="00B47730"/>
    <w:rsid w:val="00CB0664"/>
    <w:rsid w:val="00D07111"/>
    <w:rsid w:val="00D57327"/>
    <w:rsid w:val="00E74904"/>
    <w:rsid w:val="00E878F5"/>
    <w:rsid w:val="00F21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8468B"/>
  <w14:defaultImageDpi w14:val="300"/>
  <w15:docId w15:val="{A8ECEE61-BD4C-4BDC-9623-EA1585E7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C04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C048D"/>
    <w:rPr>
      <w:color w:val="0000FF"/>
      <w:u w:val="single"/>
    </w:rPr>
  </w:style>
  <w:style w:type="character" w:styleId="UnresolvedMention">
    <w:name w:val="Unresolved Mention"/>
    <w:basedOn w:val="DefaultParagraphFont"/>
    <w:uiPriority w:val="99"/>
    <w:semiHidden/>
    <w:unhideWhenUsed/>
    <w:rsid w:val="002E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0016">
      <w:bodyDiv w:val="1"/>
      <w:marLeft w:val="0"/>
      <w:marRight w:val="0"/>
      <w:marTop w:val="0"/>
      <w:marBottom w:val="0"/>
      <w:divBdr>
        <w:top w:val="none" w:sz="0" w:space="0" w:color="auto"/>
        <w:left w:val="none" w:sz="0" w:space="0" w:color="auto"/>
        <w:bottom w:val="none" w:sz="0" w:space="0" w:color="auto"/>
        <w:right w:val="none" w:sz="0" w:space="0" w:color="auto"/>
      </w:divBdr>
    </w:div>
    <w:div w:id="710302219">
      <w:bodyDiv w:val="1"/>
      <w:marLeft w:val="0"/>
      <w:marRight w:val="0"/>
      <w:marTop w:val="0"/>
      <w:marBottom w:val="0"/>
      <w:divBdr>
        <w:top w:val="none" w:sz="0" w:space="0" w:color="auto"/>
        <w:left w:val="none" w:sz="0" w:space="0" w:color="auto"/>
        <w:bottom w:val="none" w:sz="0" w:space="0" w:color="auto"/>
        <w:right w:val="none" w:sz="0" w:space="0" w:color="auto"/>
      </w:divBdr>
    </w:div>
    <w:div w:id="1408914261">
      <w:bodyDiv w:val="1"/>
      <w:marLeft w:val="0"/>
      <w:marRight w:val="0"/>
      <w:marTop w:val="0"/>
      <w:marBottom w:val="0"/>
      <w:divBdr>
        <w:top w:val="none" w:sz="0" w:space="0" w:color="auto"/>
        <w:left w:val="none" w:sz="0" w:space="0" w:color="auto"/>
        <w:bottom w:val="none" w:sz="0" w:space="0" w:color="auto"/>
        <w:right w:val="none" w:sz="0" w:space="0" w:color="auto"/>
      </w:divBdr>
    </w:div>
    <w:div w:id="1544518193">
      <w:bodyDiv w:val="1"/>
      <w:marLeft w:val="0"/>
      <w:marRight w:val="0"/>
      <w:marTop w:val="0"/>
      <w:marBottom w:val="0"/>
      <w:divBdr>
        <w:top w:val="none" w:sz="0" w:space="0" w:color="auto"/>
        <w:left w:val="none" w:sz="0" w:space="0" w:color="auto"/>
        <w:bottom w:val="none" w:sz="0" w:space="0" w:color="auto"/>
        <w:right w:val="none" w:sz="0" w:space="0" w:color="auto"/>
      </w:divBdr>
    </w:div>
    <w:div w:id="1848907457">
      <w:bodyDiv w:val="1"/>
      <w:marLeft w:val="0"/>
      <w:marRight w:val="0"/>
      <w:marTop w:val="0"/>
      <w:marBottom w:val="0"/>
      <w:divBdr>
        <w:top w:val="none" w:sz="0" w:space="0" w:color="auto"/>
        <w:left w:val="none" w:sz="0" w:space="0" w:color="auto"/>
        <w:bottom w:val="none" w:sz="0" w:space="0" w:color="auto"/>
        <w:right w:val="none" w:sz="0" w:space="0" w:color="auto"/>
      </w:divBdr>
    </w:div>
    <w:div w:id="1948197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org/publ/work865.pdf" TargetMode="External"/><Relationship Id="rId13" Type="http://schemas.openxmlformats.org/officeDocument/2006/relationships/hyperlink" Target="https://www.bis.org/publ/work887.pdf" TargetMode="External"/><Relationship Id="rId18" Type="http://schemas.openxmlformats.org/officeDocument/2006/relationships/hyperlink" Target="https://ico.org.uk/media2/for-organisations/documents/2619985/ico-opinion-the-use-of-lfr-in-public-places-20210618.pdf" TargetMode="External"/><Relationship Id="rId26" Type="http://schemas.openxmlformats.org/officeDocument/2006/relationships/hyperlink" Target="https://download.ssrn.com/19/09/16/ssrn_id3454465_code1617212.pdf" TargetMode="External"/><Relationship Id="rId3" Type="http://schemas.openxmlformats.org/officeDocument/2006/relationships/styles" Target="styles.xml"/><Relationship Id="rId21" Type="http://schemas.openxmlformats.org/officeDocument/2006/relationships/hyperlink" Target="https://monzo.com/static/docs/monzo-annual-report-2022.pdf" TargetMode="External"/><Relationship Id="rId7" Type="http://schemas.openxmlformats.org/officeDocument/2006/relationships/endnotes" Target="endnotes.xml"/><Relationship Id="rId12" Type="http://schemas.openxmlformats.org/officeDocument/2006/relationships/hyperlink" Target="https://www.imf.org/en/Publications/WP/Issues/2018/06/22/Cyber-Risk-for-the-Financial-Sector-A-Framework-for-Quantitative-Assessment-45924" TargetMode="External"/><Relationship Id="rId17" Type="http://schemas.openxmlformats.org/officeDocument/2006/relationships/hyperlink" Target="https://ojs.aaai.org/aimagazine/index.php/aimagazine/article/view/2741/2647" TargetMode="External"/><Relationship Id="rId25" Type="http://schemas.openxmlformats.org/officeDocument/2006/relationships/hyperlink" Target="https://www.gov.uk/guidance/data-use-and-access-act-2025-data-protection-and-privacy-changes" TargetMode="External"/><Relationship Id="rId2" Type="http://schemas.openxmlformats.org/officeDocument/2006/relationships/numbering" Target="numbering.xml"/><Relationship Id="rId16" Type="http://schemas.openxmlformats.org/officeDocument/2006/relationships/hyperlink" Target="https://www.fca.org.uk/publication/corporate/business-plan-2023-24.pdf" TargetMode="External"/><Relationship Id="rId20" Type="http://schemas.openxmlformats.org/officeDocument/2006/relationships/hyperlink" Target="https://www.iso.org/standard/270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157230892030139X" TargetMode="External"/><Relationship Id="rId24" Type="http://schemas.openxmlformats.org/officeDocument/2006/relationships/hyperlink" Target="https://www.starlingbank.com/docs/annual-reports/Starling-Bank-Annual-Report-2023.pdf" TargetMode="External"/><Relationship Id="rId5" Type="http://schemas.openxmlformats.org/officeDocument/2006/relationships/webSettings" Target="webSettings.xml"/><Relationship Id="rId15" Type="http://schemas.openxmlformats.org/officeDocument/2006/relationships/hyperlink" Target="https://www.fca.org.uk/publication/policy/ps22-9.pdf" TargetMode="External"/><Relationship Id="rId23" Type="http://schemas.openxmlformats.org/officeDocument/2006/relationships/hyperlink" Target="https://assets.revolut.com/pdf/Revolut_Consumer_Security_Insight_Report_2023.pdf" TargetMode="External"/><Relationship Id="rId28" Type="http://schemas.openxmlformats.org/officeDocument/2006/relationships/header" Target="header1.xml"/><Relationship Id="rId10" Type="http://schemas.openxmlformats.org/officeDocument/2006/relationships/hyperlink" Target="https://www.bis.org/bcbs/publ/d516.pdf" TargetMode="External"/><Relationship Id="rId19" Type="http://schemas.openxmlformats.org/officeDocument/2006/relationships/hyperlink" Target="https://assets.publishing.service.gov.uk/media/67cad8b18c1076c796a45c25/Cyber_Security_Sectoral_Analysis_Report_2025.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lycommons.law.northwestern.edu/njilb/vol37/iss3/2/" TargetMode="External"/><Relationship Id="rId14" Type="http://schemas.openxmlformats.org/officeDocument/2006/relationships/hyperlink" Target="https://dama.org/dmbok2r-infographics/" TargetMode="External"/><Relationship Id="rId22" Type="http://schemas.openxmlformats.org/officeDocument/2006/relationships/hyperlink" Target="https://nvlpubs.nist.gov/nistpubs/CSWP/NIST.CSWP.04162018.pdf" TargetMode="External"/><Relationship Id="rId27" Type="http://schemas.openxmlformats.org/officeDocument/2006/relationships/hyperlink" Target="https://www.datocms-assets.com/23873/1713257733-zopa-group-2023-annual-report-signed_web-versio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0DBF3-F422-4BA7-91C0-C9310F80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22</Pages>
  <Words>6088</Words>
  <Characters>34704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Sunshine</cp:lastModifiedBy>
  <cp:revision>4</cp:revision>
  <dcterms:created xsi:type="dcterms:W3CDTF">2013-12-23T23:15:00Z</dcterms:created>
  <dcterms:modified xsi:type="dcterms:W3CDTF">2025-07-16T10:32:00Z</dcterms:modified>
  <cp:category/>
</cp:coreProperties>
</file>