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360"/>
      </w:pPr>
    </w:p>
    <w:p>
      <w:pPr>
        <w:spacing w:after="200" w:before="0"/>
        <w:jc w:val="center"/>
      </w:pPr>
      <w:r>
        <w:rPr>
          <w:rFonts w:ascii="Arial" w:cs="Arial" w:eastAsia="Arial" w:hAnsi="Arial"/>
          <w:b/>
          <w:bCs/>
          <w:color w:val="1E3A5F"/>
          <w:sz w:val="64"/>
          <w:szCs w:val="64"/>
        </w:rPr>
        <w:t xml:space="preserve">SurakshaSaathi</w:t>
      </w:r>
    </w:p>
    <w:p>
      <w:pPr>
        <w:spacing w:after="160" w:before="0"/>
        <w:jc w:val="center"/>
      </w:pPr>
      <w:r>
        <w:rPr>
          <w:rFonts w:ascii="Arial" w:cs="Arial" w:eastAsia="Arial" w:hAnsi="Arial"/>
          <w:color w:val="2E86AB"/>
          <w:sz w:val="28"/>
          <w:szCs w:val="28"/>
        </w:rPr>
        <w:t xml:space="preserve">surakshasaathi.com</w:t>
      </w:r>
    </w:p>
    <w:p>
      <w:pPr>
        <w:spacing w:after="400" w:before="0"/>
        <w:jc w:val="center"/>
      </w:pPr>
      <w:r>
        <w:rPr>
          <w:rFonts w:ascii="Arial" w:cs="Arial" w:eastAsia="Arial" w:hAnsi="Arial"/>
          <w:i/>
          <w:iCs/>
          <w:color w:val="666666"/>
          <w:sz w:val="32"/>
          <w:szCs w:val="32"/>
        </w:rPr>
        <w:t xml:space="preserve">India's Protection Companion</w:t>
      </w:r>
    </w:p>
    <w:p>
      <w:pPr>
        <w:pBdr>
          <w:bottom w:val="single" w:color="2E86AB" w:sz="4" w:space="1"/>
        </w:pBdr>
        <w:spacing w:after="120" w:before="120"/>
      </w:pPr>
    </w:p>
    <w:p>
      <w:pPr>
        <w:spacing w:after="0" w:before="120"/>
      </w:pPr>
    </w:p>
    <w:p>
      <w:pPr>
        <w:spacing w:after="120" w:before="0"/>
        <w:jc w:val="center"/>
      </w:pPr>
      <w:r>
        <w:rPr>
          <w:rFonts w:ascii="Arial" w:cs="Arial" w:eastAsia="Arial" w:hAnsi="Arial"/>
          <w:b/>
          <w:bCs/>
          <w:color w:val="1A1A2E"/>
          <w:sz w:val="28"/>
          <w:szCs w:val="28"/>
        </w:rPr>
        <w:t xml:space="preserve">Product Strategy Document — 8 Opportunities</w:t>
      </w:r>
    </w:p>
    <w:p>
      <w:pPr>
        <w:spacing w:after="80" w:before="0"/>
        <w:jc w:val="center"/>
      </w:pPr>
      <w:r>
        <w:rPr>
          <w:rFonts w:ascii="Arial" w:cs="Arial" w:eastAsia="Arial" w:hAnsi="Arial"/>
          <w:color w:val="666666"/>
          <w:sz w:val="24"/>
          <w:szCs w:val="24"/>
        </w:rPr>
        <w:t xml:space="preserve">Health · Life · Auto · Government Schemes</w:t>
      </w:r>
    </w:p>
    <w:p>
      <w:pPr>
        <w:spacing w:after="80" w:before="0"/>
        <w:jc w:val="center"/>
      </w:pPr>
      <w:r>
        <w:rPr>
          <w:rFonts w:ascii="Arial" w:cs="Arial" w:eastAsia="Arial" w:hAnsi="Arial"/>
          <w:color w:val="888888"/>
          <w:sz w:val="22"/>
          <w:szCs w:val="22"/>
        </w:rPr>
        <w:t xml:space="preserve">Confidential — April 2026</w:t>
      </w:r>
    </w:p>
    <w:p>
      <w:r>
        <w:br w:type="page"/>
      </w:r>
    </w:p>
    <w:p>
      <w:pPr>
        <w:pStyle w:val="Heading1"/>
        <w:spacing w:after="160" w:before="320"/>
      </w:pPr>
      <w:r>
        <w:rPr>
          <w:rFonts w:ascii="Arial" w:cs="Arial" w:eastAsia="Arial" w:hAnsi="Arial"/>
          <w:b/>
          <w:bCs/>
          <w:color w:val="1E3A5F"/>
          <w:sz w:val="32"/>
          <w:szCs w:val="32"/>
        </w:rPr>
        <w:t xml:space="preserve">Executive Summary</w:t>
      </w:r>
    </w:p>
    <w:p>
      <w:pPr>
        <w:spacing w:after="60" w:before="60"/>
      </w:pPr>
      <w:r>
        <w:rPr>
          <w:rFonts w:ascii="Arial" w:cs="Arial" w:eastAsia="Arial" w:hAnsi="Arial"/>
          <w:color w:val="1A1A2E"/>
          <w:sz w:val="22"/>
          <w:szCs w:val="22"/>
        </w:rPr>
        <w:t xml:space="preserve">SurakshaSaathi is positioned as India's first full-spectrum protection companion — not a policy comparison portal, but a platform that serves policyholders before, during, and after insurance events. The name itself signals the brand promise: a trusted companion in protection, not a sales aggregator.</w:t>
      </w:r>
    </w:p>
    <w:p>
      <w:pPr>
        <w:spacing w:after="0" w:before="60"/>
      </w:pPr>
    </w:p>
    <w:p>
      <w:pPr>
        <w:spacing w:after="60" w:before="60"/>
      </w:pPr>
      <w:r>
        <w:rPr>
          <w:rFonts w:ascii="Arial" w:cs="Arial" w:eastAsia="Arial" w:hAnsi="Arial"/>
          <w:b/>
          <w:bCs/>
          <w:color w:val="1A1A2E"/>
          <w:sz w:val="22"/>
          <w:szCs w:val="22"/>
        </w:rPr>
        <w:t xml:space="preserve">This document defines 8 product opportunities across three strategic clusters:</w:t>
      </w:r>
    </w:p>
    <w:p>
      <w:pPr>
        <w:spacing w:after="0" w:before="60"/>
      </w:pPr>
    </w:p>
    <w:p>
      <w:pPr>
        <w:pStyle w:val="ListParagraph"/>
        <w:numPr>
          <w:ilvl w:val="0"/>
          <w:numId w:val="2"/>
        </w:numPr>
        <w:spacing w:after="40" w:before="40"/>
      </w:pPr>
      <w:r>
        <w:rPr>
          <w:rFonts w:ascii="Arial" w:cs="Arial" w:eastAsia="Arial" w:hAnsi="Arial"/>
          <w:color w:val="1A1A2E"/>
          <w:sz w:val="22"/>
          <w:szCs w:val="22"/>
        </w:rPr>
        <w:t xml:space="preserve">Cluster A — Claims &amp; Recovery (Ideas 1, 8): Post-purchase advocacy for people who bought insurance but cannot use it.</w:t>
      </w:r>
    </w:p>
    <w:p>
      <w:pPr>
        <w:pStyle w:val="ListParagraph"/>
        <w:numPr>
          <w:ilvl w:val="0"/>
          <w:numId w:val="2"/>
        </w:numPr>
        <w:spacing w:after="40" w:before="40"/>
      </w:pPr>
      <w:r>
        <w:rPr>
          <w:rFonts w:ascii="Arial" w:cs="Arial" w:eastAsia="Arial" w:hAnsi="Arial"/>
          <w:color w:val="1A1A2E"/>
          <w:sz w:val="22"/>
          <w:szCs w:val="22"/>
        </w:rPr>
        <w:t xml:space="preserve">Cluster B — Discovery &amp; Advisory (Ideas 2, 3, 4, 5): Helping people understand what they have, what they're entitled to, and what gaps exist.</w:t>
      </w:r>
    </w:p>
    <w:p>
      <w:pPr>
        <w:pStyle w:val="ListParagraph"/>
        <w:numPr>
          <w:ilvl w:val="0"/>
          <w:numId w:val="2"/>
        </w:numPr>
        <w:spacing w:after="40" w:before="40"/>
      </w:pPr>
      <w:r>
        <w:rPr>
          <w:rFonts w:ascii="Arial" w:cs="Arial" w:eastAsia="Arial" w:hAnsi="Arial"/>
          <w:color w:val="1A1A2E"/>
          <w:sz w:val="22"/>
          <w:szCs w:val="22"/>
        </w:rPr>
        <w:t xml:space="preserve">Cluster C — New Segments (Ideas 6, 7): Reaching MSME owners and senior citizens who are structurally underserved by existing platforms.</w:t>
      </w:r>
    </w:p>
    <w:p>
      <w:pPr>
        <w:spacing w:after="0" w:before="60"/>
      </w:pPr>
    </w:p>
    <w:p>
      <w:pPr>
        <w:spacing w:after="60" w:before="60"/>
      </w:pPr>
      <w:r>
        <w:rPr>
          <w:rFonts w:ascii="Arial" w:cs="Arial" w:eastAsia="Arial" w:hAnsi="Arial"/>
          <w:color w:val="1A1A2E"/>
          <w:sz w:val="22"/>
          <w:szCs w:val="22"/>
        </w:rPr>
        <w:t xml:space="preserve">All 8 ideas are non-commodity and are designed to be structurally defensible against Policybazaar and Bima Sugam. The platform's moat compounds through proprietary data: rejection patterns, scheme eligibility databases, mis-selling signal libraries, and MSME risk templates.</w:t>
      </w:r>
    </w:p>
    <w:p>
      <w:pPr>
        <w:spacing w:after="0" w:before="120"/>
      </w:pPr>
    </w:p>
    <w:p>
      <w:pPr>
        <w:pStyle w:val="Heading2"/>
        <w:spacing w:after="100" w:before="240"/>
      </w:pPr>
      <w:r>
        <w:rPr>
          <w:rFonts w:ascii="Arial" w:cs="Arial" w:eastAsia="Arial" w:hAnsi="Arial"/>
          <w:b/>
          <w:bCs/>
          <w:color w:val="2E86AB"/>
          <w:sz w:val="26"/>
          <w:szCs w:val="26"/>
        </w:rPr>
        <w:t xml:space="preserve">The Market Gap in One Number</w:t>
      </w:r>
    </w:p>
    <w:p>
      <w:pPr>
        <w:spacing w:after="60" w:before="60"/>
      </w:pPr>
      <w:r>
        <w:rPr>
          <w:rFonts w:ascii="Arial" w:cs="Arial" w:eastAsia="Arial" w:hAnsi="Arial"/>
          <w:color w:val="1A1A2E"/>
          <w:sz w:val="22"/>
          <w:szCs w:val="22"/>
        </w:rPr>
        <w:t xml:space="preserve">₹26,000 crore in health insurance claims were rejected or disallowed in FY24 — a 19% rise year-on-year. 11% of all claims are denied. 70% of PM-JAY eligible families are aware of the scheme but only 16% are enrolled. ₹14,000 crore in insurance money sits unclaimed. These are not edge cases. They are the mainstream Indian insurance experience.</w:t>
      </w:r>
    </w:p>
    <w:p>
      <w:pPr>
        <w:spacing w:after="0" w:before="60"/>
      </w:pPr>
    </w:p>
    <w:p>
      <w:pPr>
        <w:spacing w:after="60" w:before="60"/>
      </w:pPr>
      <w:r>
        <w:rPr>
          <w:rFonts w:ascii="Arial" w:cs="Arial" w:eastAsia="Arial" w:hAnsi="Arial"/>
          <w:color w:val="1A1A2E"/>
          <w:sz w:val="22"/>
          <w:szCs w:val="22"/>
        </w:rPr>
        <w:t xml:space="preserve">SurakshaSaathi is built for the 500 million Indians on the wrong side of these numbers.</w:t>
      </w:r>
    </w:p>
    <w:p>
      <w:pPr>
        <w:spacing w:after="0" w:before="120"/>
      </w:pPr>
    </w:p>
    <w:p>
      <w:pPr>
        <w:pStyle w:val="Heading2"/>
        <w:spacing w:after="100" w:before="240"/>
      </w:pPr>
      <w:r>
        <w:rPr>
          <w:rFonts w:ascii="Arial" w:cs="Arial" w:eastAsia="Arial" w:hAnsi="Arial"/>
          <w:b/>
          <w:bCs/>
          <w:color w:val="2E86AB"/>
          <w:sz w:val="26"/>
          <w:szCs w:val="26"/>
        </w:rPr>
        <w:t xml:space="preserve">Opportunity Scorecard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2800"/>
        <w:gridCol w:w="1600"/>
        <w:gridCol w:w="1600"/>
        <w:gridCol w:w="1600"/>
        <w:gridCol w:w="1400"/>
      </w:tblGrid>
      <w:tr>
        <w:tc>
          <w:tcPr>
            <w:tcW w:type="dxa" w:w="36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vAlign w:val="top"/>
          </w:tcPr>
          <w:p>
            <w:r>
              <w:rPr>
                <w:rFonts w:ascii="Arial" w:cs="Arial" w:eastAsia="Arial" w:hAnsi="Arial"/>
                <w:b/>
                <w:bCs/>
                <w:color w:val="FFFFFF"/>
                <w:sz w:val="22"/>
                <w:szCs w:val="22"/>
              </w:rPr>
              <w:t xml:space="preserve">#</w:t>
            </w:r>
          </w:p>
        </w:tc>
        <w:tc>
          <w:tcPr>
            <w:tcW w:type="dxa" w:w="28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vAlign w:val="top"/>
          </w:tcPr>
          <w:p>
            <w:r>
              <w:rPr>
                <w:rFonts w:ascii="Arial" w:cs="Arial" w:eastAsia="Arial" w:hAnsi="Arial"/>
                <w:b/>
                <w:bCs/>
                <w:color w:val="FFFFFF"/>
                <w:sz w:val="22"/>
                <w:szCs w:val="22"/>
              </w:rPr>
              <w:t xml:space="preserve">Idea</w:t>
            </w:r>
          </w:p>
        </w:tc>
        <w:tc>
          <w:tcPr>
            <w:tcW w:type="dxa" w:w="16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vAlign w:val="top"/>
          </w:tcPr>
          <w:p>
            <w:r>
              <w:rPr>
                <w:rFonts w:ascii="Arial" w:cs="Arial" w:eastAsia="Arial" w:hAnsi="Arial"/>
                <w:b/>
                <w:bCs/>
                <w:color w:val="FFFFFF"/>
                <w:sz w:val="22"/>
                <w:szCs w:val="22"/>
              </w:rPr>
              <w:t xml:space="preserve">Moat</w:t>
            </w:r>
          </w:p>
        </w:tc>
        <w:tc>
          <w:tcPr>
            <w:tcW w:type="dxa" w:w="16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vAlign w:val="top"/>
          </w:tcPr>
          <w:p>
            <w:r>
              <w:rPr>
                <w:rFonts w:ascii="Arial" w:cs="Arial" w:eastAsia="Arial" w:hAnsi="Arial"/>
                <w:b/>
                <w:bCs/>
                <w:color w:val="FFFFFF"/>
                <w:sz w:val="22"/>
                <w:szCs w:val="22"/>
              </w:rPr>
              <w:t xml:space="preserve">Revenue Speed</w:t>
            </w:r>
          </w:p>
        </w:tc>
        <w:tc>
          <w:tcPr>
            <w:tcW w:type="dxa" w:w="16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vAlign w:val="top"/>
          </w:tcPr>
          <w:p>
            <w:r>
              <w:rPr>
                <w:rFonts w:ascii="Arial" w:cs="Arial" w:eastAsia="Arial" w:hAnsi="Arial"/>
                <w:b/>
                <w:bCs/>
                <w:color w:val="FFFFFF"/>
                <w:sz w:val="22"/>
                <w:szCs w:val="22"/>
              </w:rPr>
              <w:t xml:space="preserve">Founder Fit</w:t>
            </w:r>
          </w:p>
        </w:tc>
        <w:tc>
          <w:tcPr>
            <w:tcW w:type="dxa" w:w="14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vAlign w:val="top"/>
          </w:tcPr>
          <w:p>
            <w:r>
              <w:rPr>
                <w:rFonts w:ascii="Arial" w:cs="Arial" w:eastAsia="Arial" w:hAnsi="Arial"/>
                <w:b/>
                <w:bCs/>
                <w:color w:val="FFFFFF"/>
                <w:sz w:val="22"/>
                <w:szCs w:val="22"/>
              </w:rPr>
              <w:t xml:space="preserve">Bima Sugam Risk</w:t>
            </w:r>
          </w:p>
        </w:tc>
      </w:tr>
      <w:tr>
        <w:tc>
          <w:tcPr>
            <w:tcW w:type="dxa" w:w="360"/>
            <w:tcBorders>
              <w:top w:val="single" w:color="CCCCCC" w:sz="1"/>
              <w:left w:val="single" w:color="CCCCCC" w:sz="1"/>
              <w:bottom w:val="single" w:color="CCCCCC" w:sz="1"/>
              <w:right w:val="single" w:color="CCCCCC" w:sz="1"/>
            </w:tcBorders>
            <w:shd w:fill="F2F4F6" w:val="clear"/>
            <w:tcMar>
              <w:top w:type="dxa" w:w="100"/>
              <w:left w:type="dxa" w:w="150"/>
              <w:bottom w:type="dxa" w:w="100"/>
              <w:right w:type="dxa" w:w="150"/>
            </w:tcMar>
            <w:vAlign w:val="top"/>
          </w:tcPr>
          <w:p>
            <w:r>
              <w:rPr>
                <w:rFonts w:ascii="Arial" w:cs="Arial" w:eastAsia="Arial" w:hAnsi="Arial"/>
                <w:b/>
                <w:bCs/>
                <w:color w:val="2E86AB"/>
                <w:sz w:val="22"/>
                <w:szCs w:val="22"/>
              </w:rPr>
              <w:t xml:space="preserve">1</w:t>
            </w:r>
          </w:p>
        </w:tc>
        <w:tc>
          <w:tcPr>
            <w:tcW w:type="dxa" w:w="2800"/>
            <w:tcBorders>
              <w:top w:val="single" w:color="CCCCCC" w:sz="1"/>
              <w:left w:val="single" w:color="CCCCCC" w:sz="1"/>
              <w:bottom w:val="single" w:color="CCCCCC" w:sz="1"/>
              <w:right w:val="single" w:color="CCCCCC" w:sz="1"/>
            </w:tcBorders>
            <w:shd w:fill="F2F4F6" w:val="clear"/>
            <w:tcMar>
              <w:top w:type="dxa" w:w="100"/>
              <w:left w:type="dxa" w:w="150"/>
              <w:bottom w:type="dxa" w:w="100"/>
              <w:right w:type="dxa" w:w="150"/>
            </w:tcMar>
            <w:vAlign w:val="top"/>
          </w:tcPr>
          <w:p>
            <w:r>
              <w:rPr>
                <w:rFonts w:ascii="Arial" w:cs="Arial" w:eastAsia="Arial" w:hAnsi="Arial"/>
                <w:b w:val="false"/>
                <w:bCs w:val="false"/>
                <w:color w:val="1A1A2E"/>
                <w:sz w:val="22"/>
                <w:szCs w:val="22"/>
              </w:rPr>
              <w:t xml:space="preserve">Claims Advocacy Portal</w:t>
            </w:r>
          </w:p>
        </w:tc>
        <w:tc>
          <w:tcPr>
            <w:tcW w:type="dxa" w:w="1600"/>
            <w:tcBorders>
              <w:top w:val="single" w:color="CCCCCC" w:sz="1"/>
              <w:left w:val="single" w:color="CCCCCC" w:sz="1"/>
              <w:bottom w:val="single" w:color="CCCCCC" w:sz="1"/>
              <w:right w:val="single" w:color="CCCCCC" w:sz="1"/>
            </w:tcBorders>
            <w:shd w:fill="F2F4F6" w:val="clear"/>
            <w:tcMar>
              <w:top w:type="dxa" w:w="100"/>
              <w:left w:type="dxa" w:w="150"/>
              <w:bottom w:type="dxa" w:w="100"/>
              <w:right w:type="dxa" w:w="150"/>
            </w:tcMar>
            <w:vAlign w:val="top"/>
          </w:tcPr>
          <w:p>
            <w:r>
              <w:rPr>
                <w:rFonts w:ascii="Arial" w:cs="Arial" w:eastAsia="Arial" w:hAnsi="Arial"/>
                <w:color w:val="1A1A2E"/>
                <w:sz w:val="20"/>
                <w:szCs w:val="20"/>
              </w:rPr>
              <w:t xml:space="preserve">★★★★★</w:t>
            </w:r>
          </w:p>
        </w:tc>
        <w:tc>
          <w:tcPr>
            <w:tcW w:type="dxa" w:w="1600"/>
            <w:tcBorders>
              <w:top w:val="single" w:color="CCCCCC" w:sz="1"/>
              <w:left w:val="single" w:color="CCCCCC" w:sz="1"/>
              <w:bottom w:val="single" w:color="CCCCCC" w:sz="1"/>
              <w:right w:val="single" w:color="CCCCCC" w:sz="1"/>
            </w:tcBorders>
            <w:shd w:fill="F2F4F6" w:val="clear"/>
            <w:tcMar>
              <w:top w:type="dxa" w:w="100"/>
              <w:left w:type="dxa" w:w="150"/>
              <w:bottom w:type="dxa" w:w="100"/>
              <w:right w:type="dxa" w:w="150"/>
            </w:tcMar>
            <w:vAlign w:val="top"/>
          </w:tcPr>
          <w:p>
            <w:r>
              <w:rPr>
                <w:rFonts w:ascii="Arial" w:cs="Arial" w:eastAsia="Arial" w:hAnsi="Arial"/>
                <w:color w:val="1A1A2E"/>
                <w:sz w:val="20"/>
                <w:szCs w:val="20"/>
              </w:rPr>
              <w:t xml:space="preserve">Fast (30–60d)</w:t>
            </w:r>
          </w:p>
        </w:tc>
        <w:tc>
          <w:tcPr>
            <w:tcW w:type="dxa" w:w="1600"/>
            <w:tcBorders>
              <w:top w:val="single" w:color="CCCCCC" w:sz="1"/>
              <w:left w:val="single" w:color="CCCCCC" w:sz="1"/>
              <w:bottom w:val="single" w:color="CCCCCC" w:sz="1"/>
              <w:right w:val="single" w:color="CCCCCC" w:sz="1"/>
            </w:tcBorders>
            <w:shd w:fill="F2F4F6" w:val="clear"/>
            <w:tcMar>
              <w:top w:type="dxa" w:w="100"/>
              <w:left w:type="dxa" w:w="150"/>
              <w:bottom w:type="dxa" w:w="100"/>
              <w:right w:type="dxa" w:w="150"/>
            </w:tcMar>
            <w:vAlign w:val="top"/>
          </w:tcPr>
          <w:p>
            <w:r>
              <w:rPr>
                <w:rFonts w:ascii="Arial" w:cs="Arial" w:eastAsia="Arial" w:hAnsi="Arial"/>
                <w:color w:val="1A1A2E"/>
                <w:sz w:val="20"/>
                <w:szCs w:val="20"/>
              </w:rPr>
              <w:t xml:space="preserve">★★★★★</w:t>
            </w:r>
          </w:p>
        </w:tc>
        <w:tc>
          <w:tcPr>
            <w:tcW w:type="dxa" w:w="1400"/>
            <w:tcBorders>
              <w:top w:val="single" w:color="CCCCCC" w:sz="1"/>
              <w:left w:val="single" w:color="CCCCCC" w:sz="1"/>
              <w:bottom w:val="single" w:color="CCCCCC" w:sz="1"/>
              <w:right w:val="single" w:color="CCCCCC" w:sz="1"/>
            </w:tcBorders>
            <w:shd w:fill="F2F4F6" w:val="clear"/>
            <w:tcMar>
              <w:top w:type="dxa" w:w="100"/>
              <w:left w:type="dxa" w:w="150"/>
              <w:bottom w:type="dxa" w:w="100"/>
              <w:right w:type="dxa" w:w="150"/>
            </w:tcMar>
            <w:vAlign w:val="top"/>
          </w:tcPr>
          <w:p>
            <w:r>
              <w:rPr>
                <w:rFonts w:ascii="Arial" w:cs="Arial" w:eastAsia="Arial" w:hAnsi="Arial"/>
                <w:color w:val="1A1A2E"/>
                <w:sz w:val="20"/>
                <w:szCs w:val="20"/>
              </w:rPr>
              <w:t xml:space="preserve">None</w:t>
            </w:r>
          </w:p>
        </w:tc>
      </w:tr>
      <w:tr>
        <w:tc>
          <w:tcPr>
            <w:tcW w:type="dxa" w:w="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r>
              <w:rPr>
                <w:rFonts w:ascii="Arial" w:cs="Arial" w:eastAsia="Arial" w:hAnsi="Arial"/>
                <w:b/>
                <w:bCs/>
                <w:color w:val="2E86AB"/>
                <w:sz w:val="22"/>
                <w:szCs w:val="22"/>
              </w:rPr>
              <w:t xml:space="preserve">2</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r>
              <w:rPr>
                <w:rFonts w:ascii="Arial" w:cs="Arial" w:eastAsia="Arial" w:hAnsi="Arial"/>
                <w:b w:val="false"/>
                <w:bCs w:val="false"/>
                <w:color w:val="1A1A2E"/>
                <w:sz w:val="22"/>
                <w:szCs w:val="22"/>
              </w:rPr>
              <w:t xml:space="preserve">Policy Health Score</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r>
              <w:rPr>
                <w:rFonts w:ascii="Arial" w:cs="Arial" w:eastAsia="Arial" w:hAnsi="Arial"/>
                <w:color w:val="1A1A2E"/>
                <w:sz w:val="20"/>
                <w:szCs w:val="20"/>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r>
              <w:rPr>
                <w:rFonts w:ascii="Arial" w:cs="Arial" w:eastAsia="Arial" w:hAnsi="Arial"/>
                <w:color w:val="1A1A2E"/>
                <w:sz w:val="20"/>
                <w:szCs w:val="20"/>
              </w:rPr>
              <w:t xml:space="preserve">Medium (90d)</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r>
              <w:rPr>
                <w:rFonts w:ascii="Arial" w:cs="Arial" w:eastAsia="Arial" w:hAnsi="Arial"/>
                <w:color w:val="1A1A2E"/>
                <w:sz w:val="20"/>
                <w:szCs w:val="20"/>
              </w:rPr>
              <w:t xml:space="preserve">★★★★☆</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r>
              <w:rPr>
                <w:rFonts w:ascii="Arial" w:cs="Arial" w:eastAsia="Arial" w:hAnsi="Arial"/>
                <w:color w:val="1A1A2E"/>
                <w:sz w:val="20"/>
                <w:szCs w:val="20"/>
              </w:rPr>
              <w:t xml:space="preserve">Low</w:t>
            </w:r>
          </w:p>
        </w:tc>
      </w:tr>
      <w:tr>
        <w:tc>
          <w:tcPr>
            <w:tcW w:type="dxa" w:w="360"/>
            <w:tcBorders>
              <w:top w:val="single" w:color="CCCCCC" w:sz="1"/>
              <w:left w:val="single" w:color="CCCCCC" w:sz="1"/>
              <w:bottom w:val="single" w:color="CCCCCC" w:sz="1"/>
              <w:right w:val="single" w:color="CCCCCC" w:sz="1"/>
            </w:tcBorders>
            <w:shd w:fill="F2F4F6" w:val="clear"/>
            <w:tcMar>
              <w:top w:type="dxa" w:w="100"/>
              <w:left w:type="dxa" w:w="150"/>
              <w:bottom w:type="dxa" w:w="100"/>
              <w:right w:type="dxa" w:w="150"/>
            </w:tcMar>
            <w:vAlign w:val="top"/>
          </w:tcPr>
          <w:p>
            <w:r>
              <w:rPr>
                <w:rFonts w:ascii="Arial" w:cs="Arial" w:eastAsia="Arial" w:hAnsi="Arial"/>
                <w:b/>
                <w:bCs/>
                <w:color w:val="2E86AB"/>
                <w:sz w:val="22"/>
                <w:szCs w:val="22"/>
              </w:rPr>
              <w:t xml:space="preserve">3</w:t>
            </w:r>
          </w:p>
        </w:tc>
        <w:tc>
          <w:tcPr>
            <w:tcW w:type="dxa" w:w="2800"/>
            <w:tcBorders>
              <w:top w:val="single" w:color="CCCCCC" w:sz="1"/>
              <w:left w:val="single" w:color="CCCCCC" w:sz="1"/>
              <w:bottom w:val="single" w:color="CCCCCC" w:sz="1"/>
              <w:right w:val="single" w:color="CCCCCC" w:sz="1"/>
            </w:tcBorders>
            <w:shd w:fill="F2F4F6" w:val="clear"/>
            <w:tcMar>
              <w:top w:type="dxa" w:w="100"/>
              <w:left w:type="dxa" w:w="150"/>
              <w:bottom w:type="dxa" w:w="100"/>
              <w:right w:type="dxa" w:w="150"/>
            </w:tcMar>
            <w:vAlign w:val="top"/>
          </w:tcPr>
          <w:p>
            <w:r>
              <w:rPr>
                <w:rFonts w:ascii="Arial" w:cs="Arial" w:eastAsia="Arial" w:hAnsi="Arial"/>
                <w:b w:val="false"/>
                <w:bCs w:val="false"/>
                <w:color w:val="1A1A2E"/>
                <w:sz w:val="22"/>
                <w:szCs w:val="22"/>
              </w:rPr>
              <w:t xml:space="preserve">Govt Scheme Navigator</w:t>
            </w:r>
          </w:p>
        </w:tc>
        <w:tc>
          <w:tcPr>
            <w:tcW w:type="dxa" w:w="1600"/>
            <w:tcBorders>
              <w:top w:val="single" w:color="CCCCCC" w:sz="1"/>
              <w:left w:val="single" w:color="CCCCCC" w:sz="1"/>
              <w:bottom w:val="single" w:color="CCCCCC" w:sz="1"/>
              <w:right w:val="single" w:color="CCCCCC" w:sz="1"/>
            </w:tcBorders>
            <w:shd w:fill="F2F4F6" w:val="clear"/>
            <w:tcMar>
              <w:top w:type="dxa" w:w="100"/>
              <w:left w:type="dxa" w:w="150"/>
              <w:bottom w:type="dxa" w:w="100"/>
              <w:right w:type="dxa" w:w="150"/>
            </w:tcMar>
            <w:vAlign w:val="top"/>
          </w:tcPr>
          <w:p>
            <w:r>
              <w:rPr>
                <w:rFonts w:ascii="Arial" w:cs="Arial" w:eastAsia="Arial" w:hAnsi="Arial"/>
                <w:color w:val="1A1A2E"/>
                <w:sz w:val="20"/>
                <w:szCs w:val="20"/>
              </w:rPr>
              <w:t xml:space="preserve">★★★☆☆</w:t>
            </w:r>
          </w:p>
        </w:tc>
        <w:tc>
          <w:tcPr>
            <w:tcW w:type="dxa" w:w="1600"/>
            <w:tcBorders>
              <w:top w:val="single" w:color="CCCCCC" w:sz="1"/>
              <w:left w:val="single" w:color="CCCCCC" w:sz="1"/>
              <w:bottom w:val="single" w:color="CCCCCC" w:sz="1"/>
              <w:right w:val="single" w:color="CCCCCC" w:sz="1"/>
            </w:tcBorders>
            <w:shd w:fill="F2F4F6" w:val="clear"/>
            <w:tcMar>
              <w:top w:type="dxa" w:w="100"/>
              <w:left w:type="dxa" w:w="150"/>
              <w:bottom w:type="dxa" w:w="100"/>
              <w:right w:type="dxa" w:w="150"/>
            </w:tcMar>
            <w:vAlign w:val="top"/>
          </w:tcPr>
          <w:p>
            <w:r>
              <w:rPr>
                <w:rFonts w:ascii="Arial" w:cs="Arial" w:eastAsia="Arial" w:hAnsi="Arial"/>
                <w:color w:val="1A1A2E"/>
                <w:sz w:val="20"/>
                <w:szCs w:val="20"/>
              </w:rPr>
              <w:t xml:space="preserve">Medium (60d)</w:t>
            </w:r>
          </w:p>
        </w:tc>
        <w:tc>
          <w:tcPr>
            <w:tcW w:type="dxa" w:w="1600"/>
            <w:tcBorders>
              <w:top w:val="single" w:color="CCCCCC" w:sz="1"/>
              <w:left w:val="single" w:color="CCCCCC" w:sz="1"/>
              <w:bottom w:val="single" w:color="CCCCCC" w:sz="1"/>
              <w:right w:val="single" w:color="CCCCCC" w:sz="1"/>
            </w:tcBorders>
            <w:shd w:fill="F2F4F6" w:val="clear"/>
            <w:tcMar>
              <w:top w:type="dxa" w:w="100"/>
              <w:left w:type="dxa" w:w="150"/>
              <w:bottom w:type="dxa" w:w="100"/>
              <w:right w:type="dxa" w:w="150"/>
            </w:tcMar>
            <w:vAlign w:val="top"/>
          </w:tcPr>
          <w:p>
            <w:r>
              <w:rPr>
                <w:rFonts w:ascii="Arial" w:cs="Arial" w:eastAsia="Arial" w:hAnsi="Arial"/>
                <w:color w:val="1A1A2E"/>
                <w:sz w:val="20"/>
                <w:szCs w:val="20"/>
              </w:rPr>
              <w:t xml:space="preserve">★★★☆☆</w:t>
            </w:r>
          </w:p>
        </w:tc>
        <w:tc>
          <w:tcPr>
            <w:tcW w:type="dxa" w:w="1400"/>
            <w:tcBorders>
              <w:top w:val="single" w:color="CCCCCC" w:sz="1"/>
              <w:left w:val="single" w:color="CCCCCC" w:sz="1"/>
              <w:bottom w:val="single" w:color="CCCCCC" w:sz="1"/>
              <w:right w:val="single" w:color="CCCCCC" w:sz="1"/>
            </w:tcBorders>
            <w:shd w:fill="F2F4F6" w:val="clear"/>
            <w:tcMar>
              <w:top w:type="dxa" w:w="100"/>
              <w:left w:type="dxa" w:w="150"/>
              <w:bottom w:type="dxa" w:w="100"/>
              <w:right w:type="dxa" w:w="150"/>
            </w:tcMar>
            <w:vAlign w:val="top"/>
          </w:tcPr>
          <w:p>
            <w:r>
              <w:rPr>
                <w:rFonts w:ascii="Arial" w:cs="Arial" w:eastAsia="Arial" w:hAnsi="Arial"/>
                <w:color w:val="1A1A2E"/>
                <w:sz w:val="20"/>
                <w:szCs w:val="20"/>
              </w:rPr>
              <w:t xml:space="preserve">None</w:t>
            </w:r>
          </w:p>
        </w:tc>
      </w:tr>
      <w:tr>
        <w:tc>
          <w:tcPr>
            <w:tcW w:type="dxa" w:w="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r>
              <w:rPr>
                <w:rFonts w:ascii="Arial" w:cs="Arial" w:eastAsia="Arial" w:hAnsi="Arial"/>
                <w:b/>
                <w:bCs/>
                <w:color w:val="2E86AB"/>
                <w:sz w:val="22"/>
                <w:szCs w:val="22"/>
              </w:rPr>
              <w:t xml:space="preserve">4</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r>
              <w:rPr>
                <w:rFonts w:ascii="Arial" w:cs="Arial" w:eastAsia="Arial" w:hAnsi="Arial"/>
                <w:b w:val="false"/>
                <w:bCs w:val="false"/>
                <w:color w:val="1A1A2E"/>
                <w:sz w:val="22"/>
                <w:szCs w:val="22"/>
              </w:rPr>
              <w:t xml:space="preserve">Family Insurance OS</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r>
              <w:rPr>
                <w:rFonts w:ascii="Arial" w:cs="Arial" w:eastAsia="Arial" w:hAnsi="Arial"/>
                <w:color w:val="1A1A2E"/>
                <w:sz w:val="20"/>
                <w:szCs w:val="20"/>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r>
              <w:rPr>
                <w:rFonts w:ascii="Arial" w:cs="Arial" w:eastAsia="Arial" w:hAnsi="Arial"/>
                <w:color w:val="1A1A2E"/>
                <w:sz w:val="20"/>
                <w:szCs w:val="20"/>
              </w:rPr>
              <w:t xml:space="preserve">Slow (120d)</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r>
              <w:rPr>
                <w:rFonts w:ascii="Arial" w:cs="Arial" w:eastAsia="Arial" w:hAnsi="Arial"/>
                <w:color w:val="1A1A2E"/>
                <w:sz w:val="20"/>
                <w:szCs w:val="20"/>
              </w:rPr>
              <w:t xml:space="preserve">★★★★☆</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r>
              <w:rPr>
                <w:rFonts w:ascii="Arial" w:cs="Arial" w:eastAsia="Arial" w:hAnsi="Arial"/>
                <w:color w:val="1A1A2E"/>
                <w:sz w:val="20"/>
                <w:szCs w:val="20"/>
              </w:rPr>
              <w:t xml:space="preserve">Low</w:t>
            </w:r>
          </w:p>
        </w:tc>
      </w:tr>
      <w:tr>
        <w:tc>
          <w:tcPr>
            <w:tcW w:type="dxa" w:w="360"/>
            <w:tcBorders>
              <w:top w:val="single" w:color="CCCCCC" w:sz="1"/>
              <w:left w:val="single" w:color="CCCCCC" w:sz="1"/>
              <w:bottom w:val="single" w:color="CCCCCC" w:sz="1"/>
              <w:right w:val="single" w:color="CCCCCC" w:sz="1"/>
            </w:tcBorders>
            <w:shd w:fill="F2F4F6" w:val="clear"/>
            <w:tcMar>
              <w:top w:type="dxa" w:w="100"/>
              <w:left w:type="dxa" w:w="150"/>
              <w:bottom w:type="dxa" w:w="100"/>
              <w:right w:type="dxa" w:w="150"/>
            </w:tcMar>
            <w:vAlign w:val="top"/>
          </w:tcPr>
          <w:p>
            <w:r>
              <w:rPr>
                <w:rFonts w:ascii="Arial" w:cs="Arial" w:eastAsia="Arial" w:hAnsi="Arial"/>
                <w:b/>
                <w:bCs/>
                <w:color w:val="2E86AB"/>
                <w:sz w:val="22"/>
                <w:szCs w:val="22"/>
              </w:rPr>
              <w:t xml:space="preserve">5</w:t>
            </w:r>
          </w:p>
        </w:tc>
        <w:tc>
          <w:tcPr>
            <w:tcW w:type="dxa" w:w="2800"/>
            <w:tcBorders>
              <w:top w:val="single" w:color="CCCCCC" w:sz="1"/>
              <w:left w:val="single" w:color="CCCCCC" w:sz="1"/>
              <w:bottom w:val="single" w:color="CCCCCC" w:sz="1"/>
              <w:right w:val="single" w:color="CCCCCC" w:sz="1"/>
            </w:tcBorders>
            <w:shd w:fill="F2F4F6" w:val="clear"/>
            <w:tcMar>
              <w:top w:type="dxa" w:w="100"/>
              <w:left w:type="dxa" w:w="150"/>
              <w:bottom w:type="dxa" w:w="100"/>
              <w:right w:type="dxa" w:w="150"/>
            </w:tcMar>
            <w:vAlign w:val="top"/>
          </w:tcPr>
          <w:p>
            <w:r>
              <w:rPr>
                <w:rFonts w:ascii="Arial" w:cs="Arial" w:eastAsia="Arial" w:hAnsi="Arial"/>
                <w:b w:val="false"/>
                <w:bCs w:val="false"/>
                <w:color w:val="1A1A2E"/>
                <w:sz w:val="22"/>
                <w:szCs w:val="22"/>
              </w:rPr>
              <w:t xml:space="preserve">Vernacular Tier 2/3 Portal</w:t>
            </w:r>
          </w:p>
        </w:tc>
        <w:tc>
          <w:tcPr>
            <w:tcW w:type="dxa" w:w="1600"/>
            <w:tcBorders>
              <w:top w:val="single" w:color="CCCCCC" w:sz="1"/>
              <w:left w:val="single" w:color="CCCCCC" w:sz="1"/>
              <w:bottom w:val="single" w:color="CCCCCC" w:sz="1"/>
              <w:right w:val="single" w:color="CCCCCC" w:sz="1"/>
            </w:tcBorders>
            <w:shd w:fill="F2F4F6" w:val="clear"/>
            <w:tcMar>
              <w:top w:type="dxa" w:w="100"/>
              <w:left w:type="dxa" w:w="150"/>
              <w:bottom w:type="dxa" w:w="100"/>
              <w:right w:type="dxa" w:w="150"/>
            </w:tcMar>
            <w:vAlign w:val="top"/>
          </w:tcPr>
          <w:p>
            <w:r>
              <w:rPr>
                <w:rFonts w:ascii="Arial" w:cs="Arial" w:eastAsia="Arial" w:hAnsi="Arial"/>
                <w:color w:val="1A1A2E"/>
                <w:sz w:val="20"/>
                <w:szCs w:val="20"/>
              </w:rPr>
              <w:t xml:space="preserve">★★★☆☆</w:t>
            </w:r>
          </w:p>
        </w:tc>
        <w:tc>
          <w:tcPr>
            <w:tcW w:type="dxa" w:w="1600"/>
            <w:tcBorders>
              <w:top w:val="single" w:color="CCCCCC" w:sz="1"/>
              <w:left w:val="single" w:color="CCCCCC" w:sz="1"/>
              <w:bottom w:val="single" w:color="CCCCCC" w:sz="1"/>
              <w:right w:val="single" w:color="CCCCCC" w:sz="1"/>
            </w:tcBorders>
            <w:shd w:fill="F2F4F6" w:val="clear"/>
            <w:tcMar>
              <w:top w:type="dxa" w:w="100"/>
              <w:left w:type="dxa" w:w="150"/>
              <w:bottom w:type="dxa" w:w="100"/>
              <w:right w:type="dxa" w:w="150"/>
            </w:tcMar>
            <w:vAlign w:val="top"/>
          </w:tcPr>
          <w:p>
            <w:r>
              <w:rPr>
                <w:rFonts w:ascii="Arial" w:cs="Arial" w:eastAsia="Arial" w:hAnsi="Arial"/>
                <w:color w:val="1A1A2E"/>
                <w:sz w:val="20"/>
                <w:szCs w:val="20"/>
              </w:rPr>
              <w:t xml:space="preserve">Slow (90d)</w:t>
            </w:r>
          </w:p>
        </w:tc>
        <w:tc>
          <w:tcPr>
            <w:tcW w:type="dxa" w:w="1600"/>
            <w:tcBorders>
              <w:top w:val="single" w:color="CCCCCC" w:sz="1"/>
              <w:left w:val="single" w:color="CCCCCC" w:sz="1"/>
              <w:bottom w:val="single" w:color="CCCCCC" w:sz="1"/>
              <w:right w:val="single" w:color="CCCCCC" w:sz="1"/>
            </w:tcBorders>
            <w:shd w:fill="F2F4F6" w:val="clear"/>
            <w:tcMar>
              <w:top w:type="dxa" w:w="100"/>
              <w:left w:type="dxa" w:w="150"/>
              <w:bottom w:type="dxa" w:w="100"/>
              <w:right w:type="dxa" w:w="150"/>
            </w:tcMar>
            <w:vAlign w:val="top"/>
          </w:tcPr>
          <w:p>
            <w:r>
              <w:rPr>
                <w:rFonts w:ascii="Arial" w:cs="Arial" w:eastAsia="Arial" w:hAnsi="Arial"/>
                <w:color w:val="1A1A2E"/>
                <w:sz w:val="20"/>
                <w:szCs w:val="20"/>
              </w:rPr>
              <w:t xml:space="preserve">★★★☆☆</w:t>
            </w:r>
          </w:p>
        </w:tc>
        <w:tc>
          <w:tcPr>
            <w:tcW w:type="dxa" w:w="1400"/>
            <w:tcBorders>
              <w:top w:val="single" w:color="CCCCCC" w:sz="1"/>
              <w:left w:val="single" w:color="CCCCCC" w:sz="1"/>
              <w:bottom w:val="single" w:color="CCCCCC" w:sz="1"/>
              <w:right w:val="single" w:color="CCCCCC" w:sz="1"/>
            </w:tcBorders>
            <w:shd w:fill="F2F4F6" w:val="clear"/>
            <w:tcMar>
              <w:top w:type="dxa" w:w="100"/>
              <w:left w:type="dxa" w:w="150"/>
              <w:bottom w:type="dxa" w:w="100"/>
              <w:right w:type="dxa" w:w="150"/>
            </w:tcMar>
            <w:vAlign w:val="top"/>
          </w:tcPr>
          <w:p>
            <w:r>
              <w:rPr>
                <w:rFonts w:ascii="Arial" w:cs="Arial" w:eastAsia="Arial" w:hAnsi="Arial"/>
                <w:color w:val="1A1A2E"/>
                <w:sz w:val="20"/>
                <w:szCs w:val="20"/>
              </w:rPr>
              <w:t xml:space="preserve">Low</w:t>
            </w:r>
          </w:p>
        </w:tc>
      </w:tr>
      <w:tr>
        <w:tc>
          <w:tcPr>
            <w:tcW w:type="dxa" w:w="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r>
              <w:rPr>
                <w:rFonts w:ascii="Arial" w:cs="Arial" w:eastAsia="Arial" w:hAnsi="Arial"/>
                <w:b/>
                <w:bCs/>
                <w:color w:val="2E86AB"/>
                <w:sz w:val="22"/>
                <w:szCs w:val="22"/>
              </w:rPr>
              <w:t xml:space="preserve">6</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r>
              <w:rPr>
                <w:rFonts w:ascii="Arial" w:cs="Arial" w:eastAsia="Arial" w:hAnsi="Arial"/>
                <w:b w:val="false"/>
                <w:bCs w:val="false"/>
                <w:color w:val="1A1A2E"/>
                <w:sz w:val="22"/>
                <w:szCs w:val="22"/>
              </w:rPr>
              <w:t xml:space="preserve">MSME Navigator</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r>
              <w:rPr>
                <w:rFonts w:ascii="Arial" w:cs="Arial" w:eastAsia="Arial" w:hAnsi="Arial"/>
                <w:color w:val="1A1A2E"/>
                <w:sz w:val="20"/>
                <w:szCs w:val="20"/>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r>
              <w:rPr>
                <w:rFonts w:ascii="Arial" w:cs="Arial" w:eastAsia="Arial" w:hAnsi="Arial"/>
                <w:color w:val="1A1A2E"/>
                <w:sz w:val="20"/>
                <w:szCs w:val="20"/>
              </w:rPr>
              <w:t xml:space="preserve">Fast (45d)</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r>
              <w:rPr>
                <w:rFonts w:ascii="Arial" w:cs="Arial" w:eastAsia="Arial" w:hAnsi="Arial"/>
                <w:color w:val="1A1A2E"/>
                <w:sz w:val="20"/>
                <w:szCs w:val="20"/>
              </w:rPr>
              <w:t xml:space="preserve">★★★★☆</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r>
              <w:rPr>
                <w:rFonts w:ascii="Arial" w:cs="Arial" w:eastAsia="Arial" w:hAnsi="Arial"/>
                <w:color w:val="1A1A2E"/>
                <w:sz w:val="20"/>
                <w:szCs w:val="20"/>
              </w:rPr>
              <w:t xml:space="preserve">None</w:t>
            </w:r>
          </w:p>
        </w:tc>
      </w:tr>
      <w:tr>
        <w:tc>
          <w:tcPr>
            <w:tcW w:type="dxa" w:w="360"/>
            <w:tcBorders>
              <w:top w:val="single" w:color="CCCCCC" w:sz="1"/>
              <w:left w:val="single" w:color="CCCCCC" w:sz="1"/>
              <w:bottom w:val="single" w:color="CCCCCC" w:sz="1"/>
              <w:right w:val="single" w:color="CCCCCC" w:sz="1"/>
            </w:tcBorders>
            <w:shd w:fill="F2F4F6" w:val="clear"/>
            <w:tcMar>
              <w:top w:type="dxa" w:w="100"/>
              <w:left w:type="dxa" w:w="150"/>
              <w:bottom w:type="dxa" w:w="100"/>
              <w:right w:type="dxa" w:w="150"/>
            </w:tcMar>
            <w:vAlign w:val="top"/>
          </w:tcPr>
          <w:p>
            <w:r>
              <w:rPr>
                <w:rFonts w:ascii="Arial" w:cs="Arial" w:eastAsia="Arial" w:hAnsi="Arial"/>
                <w:b/>
                <w:bCs/>
                <w:color w:val="2E86AB"/>
                <w:sz w:val="22"/>
                <w:szCs w:val="22"/>
              </w:rPr>
              <w:t xml:space="preserve">7</w:t>
            </w:r>
          </w:p>
        </w:tc>
        <w:tc>
          <w:tcPr>
            <w:tcW w:type="dxa" w:w="2800"/>
            <w:tcBorders>
              <w:top w:val="single" w:color="CCCCCC" w:sz="1"/>
              <w:left w:val="single" w:color="CCCCCC" w:sz="1"/>
              <w:bottom w:val="single" w:color="CCCCCC" w:sz="1"/>
              <w:right w:val="single" w:color="CCCCCC" w:sz="1"/>
            </w:tcBorders>
            <w:shd w:fill="F2F4F6" w:val="clear"/>
            <w:tcMar>
              <w:top w:type="dxa" w:w="100"/>
              <w:left w:type="dxa" w:w="150"/>
              <w:bottom w:type="dxa" w:w="100"/>
              <w:right w:type="dxa" w:w="150"/>
            </w:tcMar>
            <w:vAlign w:val="top"/>
          </w:tcPr>
          <w:p>
            <w:r>
              <w:rPr>
                <w:rFonts w:ascii="Arial" w:cs="Arial" w:eastAsia="Arial" w:hAnsi="Arial"/>
                <w:b w:val="false"/>
                <w:bCs w:val="false"/>
                <w:color w:val="1A1A2E"/>
                <w:sz w:val="22"/>
                <w:szCs w:val="22"/>
              </w:rPr>
              <w:t xml:space="preserve">Senior Citizen Portal</w:t>
            </w:r>
          </w:p>
        </w:tc>
        <w:tc>
          <w:tcPr>
            <w:tcW w:type="dxa" w:w="1600"/>
            <w:tcBorders>
              <w:top w:val="single" w:color="CCCCCC" w:sz="1"/>
              <w:left w:val="single" w:color="CCCCCC" w:sz="1"/>
              <w:bottom w:val="single" w:color="CCCCCC" w:sz="1"/>
              <w:right w:val="single" w:color="CCCCCC" w:sz="1"/>
            </w:tcBorders>
            <w:shd w:fill="F2F4F6" w:val="clear"/>
            <w:tcMar>
              <w:top w:type="dxa" w:w="100"/>
              <w:left w:type="dxa" w:w="150"/>
              <w:bottom w:type="dxa" w:w="100"/>
              <w:right w:type="dxa" w:w="150"/>
            </w:tcMar>
            <w:vAlign w:val="top"/>
          </w:tcPr>
          <w:p>
            <w:r>
              <w:rPr>
                <w:rFonts w:ascii="Arial" w:cs="Arial" w:eastAsia="Arial" w:hAnsi="Arial"/>
                <w:color w:val="1A1A2E"/>
                <w:sz w:val="20"/>
                <w:szCs w:val="20"/>
              </w:rPr>
              <w:t xml:space="preserve">★★★★☆</w:t>
            </w:r>
          </w:p>
        </w:tc>
        <w:tc>
          <w:tcPr>
            <w:tcW w:type="dxa" w:w="1600"/>
            <w:tcBorders>
              <w:top w:val="single" w:color="CCCCCC" w:sz="1"/>
              <w:left w:val="single" w:color="CCCCCC" w:sz="1"/>
              <w:bottom w:val="single" w:color="CCCCCC" w:sz="1"/>
              <w:right w:val="single" w:color="CCCCCC" w:sz="1"/>
            </w:tcBorders>
            <w:shd w:fill="F2F4F6" w:val="clear"/>
            <w:tcMar>
              <w:top w:type="dxa" w:w="100"/>
              <w:left w:type="dxa" w:w="150"/>
              <w:bottom w:type="dxa" w:w="100"/>
              <w:right w:type="dxa" w:w="150"/>
            </w:tcMar>
            <w:vAlign w:val="top"/>
          </w:tcPr>
          <w:p>
            <w:r>
              <w:rPr>
                <w:rFonts w:ascii="Arial" w:cs="Arial" w:eastAsia="Arial" w:hAnsi="Arial"/>
                <w:color w:val="1A1A2E"/>
                <w:sz w:val="20"/>
                <w:szCs w:val="20"/>
              </w:rPr>
              <w:t xml:space="preserve">Fast (45d)</w:t>
            </w:r>
          </w:p>
        </w:tc>
        <w:tc>
          <w:tcPr>
            <w:tcW w:type="dxa" w:w="1600"/>
            <w:tcBorders>
              <w:top w:val="single" w:color="CCCCCC" w:sz="1"/>
              <w:left w:val="single" w:color="CCCCCC" w:sz="1"/>
              <w:bottom w:val="single" w:color="CCCCCC" w:sz="1"/>
              <w:right w:val="single" w:color="CCCCCC" w:sz="1"/>
            </w:tcBorders>
            <w:shd w:fill="F2F4F6" w:val="clear"/>
            <w:tcMar>
              <w:top w:type="dxa" w:w="100"/>
              <w:left w:type="dxa" w:w="150"/>
              <w:bottom w:type="dxa" w:w="100"/>
              <w:right w:type="dxa" w:w="150"/>
            </w:tcMar>
            <w:vAlign w:val="top"/>
          </w:tcPr>
          <w:p>
            <w:r>
              <w:rPr>
                <w:rFonts w:ascii="Arial" w:cs="Arial" w:eastAsia="Arial" w:hAnsi="Arial"/>
                <w:color w:val="1A1A2E"/>
                <w:sz w:val="20"/>
                <w:szCs w:val="20"/>
              </w:rPr>
              <w:t xml:space="preserve">★★★★☆</w:t>
            </w:r>
          </w:p>
        </w:tc>
        <w:tc>
          <w:tcPr>
            <w:tcW w:type="dxa" w:w="1400"/>
            <w:tcBorders>
              <w:top w:val="single" w:color="CCCCCC" w:sz="1"/>
              <w:left w:val="single" w:color="CCCCCC" w:sz="1"/>
              <w:bottom w:val="single" w:color="CCCCCC" w:sz="1"/>
              <w:right w:val="single" w:color="CCCCCC" w:sz="1"/>
            </w:tcBorders>
            <w:shd w:fill="F2F4F6" w:val="clear"/>
            <w:tcMar>
              <w:top w:type="dxa" w:w="100"/>
              <w:left w:type="dxa" w:w="150"/>
              <w:bottom w:type="dxa" w:w="100"/>
              <w:right w:type="dxa" w:w="150"/>
            </w:tcMar>
            <w:vAlign w:val="top"/>
          </w:tcPr>
          <w:p>
            <w:r>
              <w:rPr>
                <w:rFonts w:ascii="Arial" w:cs="Arial" w:eastAsia="Arial" w:hAnsi="Arial"/>
                <w:color w:val="1A1A2E"/>
                <w:sz w:val="20"/>
                <w:szCs w:val="20"/>
              </w:rPr>
              <w:t xml:space="preserve">None</w:t>
            </w:r>
          </w:p>
        </w:tc>
      </w:tr>
      <w:tr>
        <w:tc>
          <w:tcPr>
            <w:tcW w:type="dxa" w:w="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r>
              <w:rPr>
                <w:rFonts w:ascii="Arial" w:cs="Arial" w:eastAsia="Arial" w:hAnsi="Arial"/>
                <w:b/>
                <w:bCs/>
                <w:color w:val="2E86AB"/>
                <w:sz w:val="22"/>
                <w:szCs w:val="22"/>
              </w:rPr>
              <w:t xml:space="preserve">8</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r>
              <w:rPr>
                <w:rFonts w:ascii="Arial" w:cs="Arial" w:eastAsia="Arial" w:hAnsi="Arial"/>
                <w:b w:val="false"/>
                <w:bCs w:val="false"/>
                <w:color w:val="1A1A2E"/>
                <w:sz w:val="22"/>
                <w:szCs w:val="22"/>
              </w:rPr>
              <w:t xml:space="preserve">Life Mis-selling Recovery</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r>
              <w:rPr>
                <w:rFonts w:ascii="Arial" w:cs="Arial" w:eastAsia="Arial" w:hAnsi="Arial"/>
                <w:color w:val="1A1A2E"/>
                <w:sz w:val="20"/>
                <w:szCs w:val="20"/>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r>
              <w:rPr>
                <w:rFonts w:ascii="Arial" w:cs="Arial" w:eastAsia="Arial" w:hAnsi="Arial"/>
                <w:color w:val="1A1A2E"/>
                <w:sz w:val="20"/>
                <w:szCs w:val="20"/>
              </w:rPr>
              <w:t xml:space="preserve">Fast (30d)</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r>
              <w:rPr>
                <w:rFonts w:ascii="Arial" w:cs="Arial" w:eastAsia="Arial" w:hAnsi="Arial"/>
                <w:color w:val="1A1A2E"/>
                <w:sz w:val="20"/>
                <w:szCs w:val="20"/>
              </w:rPr>
              <w:t xml:space="preserve">★★★★★</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r>
              <w:rPr>
                <w:rFonts w:ascii="Arial" w:cs="Arial" w:eastAsia="Arial" w:hAnsi="Arial"/>
                <w:color w:val="1A1A2E"/>
                <w:sz w:val="20"/>
                <w:szCs w:val="20"/>
              </w:rPr>
              <w:t xml:space="preserve">None</w:t>
            </w:r>
          </w:p>
        </w:tc>
      </w:tr>
    </w:tbl>
    <w:p>
      <w:r>
        <w:br w:type="page"/>
      </w:r>
    </w:p>
    <w:p>
      <w:pPr>
        <w:spacing w:after="120" w:before="0"/>
      </w:pPr>
      <w:r>
        <w:rPr>
          <w:rFonts w:ascii="Arial" w:cs="Arial" w:eastAsia="Arial" w:hAnsi="Arial"/>
          <w:b/>
          <w:bCs/>
          <w:color w:val="2E86AB"/>
          <w:sz w:val="36"/>
          <w:szCs w:val="36"/>
        </w:rPr>
        <w:t xml:space="preserve">Idea 1  </w:t>
      </w:r>
      <w:r>
        <w:rPr>
          <w:rFonts w:ascii="Arial" w:cs="Arial" w:eastAsia="Arial" w:hAnsi="Arial"/>
          <w:b/>
          <w:bCs/>
          <w:color w:val="1E3A5F"/>
          <w:sz w:val="36"/>
          <w:szCs w:val="36"/>
        </w:rPr>
        <w:t xml:space="preserve">Claims Advocacy Portal</w:t>
      </w:r>
    </w:p>
    <w:p>
      <w:pPr>
        <w:spacing w:after="240" w:before="0"/>
      </w:pPr>
      <w:r>
        <w:rPr>
          <w:rFonts w:ascii="Arial" w:cs="Arial" w:eastAsia="Arial" w:hAnsi="Arial"/>
          <w:i/>
          <w:iCs/>
          <w:color w:val="555555"/>
          <w:sz w:val="24"/>
          <w:szCs w:val="24"/>
        </w:rPr>
        <w:t xml:space="preserve">"India's insurance crisis isn't about buying — it's about using"</w:t>
      </w:r>
    </w:p>
    <w:p>
      <w:pPr>
        <w:pStyle w:val="Heading2"/>
        <w:spacing w:after="100" w:before="240"/>
      </w:pPr>
      <w:r>
        <w:rPr>
          <w:rFonts w:ascii="Arial" w:cs="Arial" w:eastAsia="Arial" w:hAnsi="Arial"/>
          <w:b/>
          <w:bCs/>
          <w:color w:val="2E86AB"/>
          <w:sz w:val="26"/>
          <w:szCs w:val="26"/>
        </w:rPr>
        <w:t xml:space="preserve">The Problem</w:t>
      </w:r>
    </w:p>
    <w:p>
      <w:pPr>
        <w:spacing w:after="60" w:before="60"/>
      </w:pPr>
      <w:r>
        <w:rPr>
          <w:rFonts w:ascii="Arial" w:cs="Arial" w:eastAsia="Arial" w:hAnsi="Arial"/>
          <w:color w:val="1A1A2E"/>
          <w:sz w:val="22"/>
          <w:szCs w:val="22"/>
        </w:rPr>
        <w:t xml:space="preserve">₹26,000 crore in health insurance claims were rejected or disallowed in FY24 — a 19% year-on-year rise. The official rejection rate sits at 11%, but a consumer survey tells a starker story: only 25% of policyholders had their claim fully approved without friction. 33% received partial approval with questionable reasons. 36% faced outright rejection.</w:t>
      </w:r>
    </w:p>
    <w:p>
      <w:pPr>
        <w:spacing w:after="0" w:before="60"/>
      </w:pPr>
    </w:p>
    <w:p>
      <w:pPr>
        <w:spacing w:after="60" w:before="60"/>
      </w:pPr>
      <w:r>
        <w:rPr>
          <w:rFonts w:ascii="Arial" w:cs="Arial" w:eastAsia="Arial" w:hAnsi="Arial"/>
          <w:color w:val="1A1A2E"/>
          <w:sz w:val="22"/>
          <w:szCs w:val="22"/>
        </w:rPr>
        <w:t xml:space="preserve">The Ombudsman system is powerful but opaque. 70% of Ombudsman cases overturn rejections — yet most people never file. Insurance Samadhan has operated in this space for 7 years, raised $5M, and generates ₹6 crore annual revenue on a manual model. That ceiling proves the TAM is real. The question is whether a tech-first approach can 10x their trajectory.</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F2F4F6" w:val="clear"/>
            <w:tcMar>
              <w:top w:type="dxa" w:w="100"/>
              <w:left w:type="dxa" w:w="150"/>
              <w:bottom w:type="dxa" w:w="100"/>
              <w:right w:type="dxa" w:w="150"/>
            </w:tcMar>
            <w:vAlign w:val="top"/>
          </w:tcPr>
          <w:p>
            <w:r>
              <w:rPr>
                <w:rFonts w:ascii="Arial" w:cs="Arial" w:eastAsia="Arial" w:hAnsi="Arial"/>
                <w:b/>
                <w:bCs/>
                <w:color w:val="1E3A5F"/>
                <w:sz w:val="22"/>
                <w:szCs w:val="22"/>
              </w:rPr>
              <w:t xml:space="preserve">Total health claims FY24</w:t>
            </w:r>
          </w:p>
        </w:tc>
        <w:tc>
          <w:tcPr>
            <w:tcW w:type="dxa" w:w="5860"/>
            <w:tcBorders>
              <w:top w:val="single" w:color="CCCCCC" w:sz="1"/>
              <w:left w:val="single" w:color="CCCCCC" w:sz="1"/>
              <w:bottom w:val="single" w:color="CCCCCC" w:sz="1"/>
              <w:right w:val="single" w:color="CCCCCC" w:sz="1"/>
            </w:tcBorders>
            <w:shd w:fill="F2F4F6" w:val="clear"/>
            <w:tcMar>
              <w:top w:type="dxa" w:w="100"/>
              <w:left w:type="dxa" w:w="150"/>
              <w:bottom w:type="dxa" w:w="100"/>
              <w:right w:type="dxa" w:w="150"/>
            </w:tcMar>
            <w:vAlign w:val="top"/>
          </w:tcPr>
          <w:p>
            <w:r>
              <w:rPr>
                <w:rFonts w:ascii="Arial" w:cs="Arial" w:eastAsia="Arial" w:hAnsi="Arial"/>
                <w:color w:val="1A1A2E"/>
                <w:sz w:val="22"/>
                <w:szCs w:val="22"/>
              </w:rPr>
              <w:t xml:space="preserve">~₹1.1 lakh crore GWP</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r>
              <w:rPr>
                <w:rFonts w:ascii="Arial" w:cs="Arial" w:eastAsia="Arial" w:hAnsi="Arial"/>
                <w:b/>
                <w:bCs/>
                <w:color w:val="1E3A5F"/>
                <w:sz w:val="22"/>
                <w:szCs w:val="22"/>
              </w:rPr>
              <w:t xml:space="preserve">Claims rejected outright</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r>
              <w:rPr>
                <w:rFonts w:ascii="Arial" w:cs="Arial" w:eastAsia="Arial" w:hAnsi="Arial"/>
                <w:color w:val="1A1A2E"/>
                <w:sz w:val="22"/>
                <w:szCs w:val="22"/>
              </w:rPr>
              <w:t xml:space="preserve">₹15,100 crore (11%)</w:t>
            </w:r>
          </w:p>
        </w:tc>
      </w:tr>
      <w:tr>
        <w:tc>
          <w:tcPr>
            <w:tcW w:type="dxa" w:w="3500"/>
            <w:tcBorders>
              <w:top w:val="single" w:color="CCCCCC" w:sz="1"/>
              <w:left w:val="single" w:color="CCCCCC" w:sz="1"/>
              <w:bottom w:val="single" w:color="CCCCCC" w:sz="1"/>
              <w:right w:val="single" w:color="CCCCCC" w:sz="1"/>
            </w:tcBorders>
            <w:shd w:fill="F2F4F6" w:val="clear"/>
            <w:tcMar>
              <w:top w:type="dxa" w:w="100"/>
              <w:left w:type="dxa" w:w="150"/>
              <w:bottom w:type="dxa" w:w="100"/>
              <w:right w:type="dxa" w:w="150"/>
            </w:tcMar>
            <w:vAlign w:val="top"/>
          </w:tcPr>
          <w:p>
            <w:r>
              <w:rPr>
                <w:rFonts w:ascii="Arial" w:cs="Arial" w:eastAsia="Arial" w:hAnsi="Arial"/>
                <w:b/>
                <w:bCs/>
                <w:color w:val="1E3A5F"/>
                <w:sz w:val="22"/>
                <w:szCs w:val="22"/>
              </w:rPr>
              <w:t xml:space="preserve">Claims repudiated</w:t>
            </w:r>
          </w:p>
        </w:tc>
        <w:tc>
          <w:tcPr>
            <w:tcW w:type="dxa" w:w="5860"/>
            <w:tcBorders>
              <w:top w:val="single" w:color="CCCCCC" w:sz="1"/>
              <w:left w:val="single" w:color="CCCCCC" w:sz="1"/>
              <w:bottom w:val="single" w:color="CCCCCC" w:sz="1"/>
              <w:right w:val="single" w:color="CCCCCC" w:sz="1"/>
            </w:tcBorders>
            <w:shd w:fill="F2F4F6" w:val="clear"/>
            <w:tcMar>
              <w:top w:type="dxa" w:w="100"/>
              <w:left w:type="dxa" w:w="150"/>
              <w:bottom w:type="dxa" w:w="100"/>
              <w:right w:type="dxa" w:w="150"/>
            </w:tcMar>
            <w:vAlign w:val="top"/>
          </w:tcPr>
          <w:p>
            <w:r>
              <w:rPr>
                <w:rFonts w:ascii="Arial" w:cs="Arial" w:eastAsia="Arial" w:hAnsi="Arial"/>
                <w:color w:val="1A1A2E"/>
                <w:sz w:val="22"/>
                <w:szCs w:val="22"/>
              </w:rPr>
              <w:t xml:space="preserve">₹10,937 crore</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r>
              <w:rPr>
                <w:rFonts w:ascii="Arial" w:cs="Arial" w:eastAsia="Arial" w:hAnsi="Arial"/>
                <w:b/>
                <w:bCs/>
                <w:color w:val="1E3A5F"/>
                <w:sz w:val="22"/>
                <w:szCs w:val="22"/>
              </w:rPr>
              <w:t xml:space="preserve">YoY rejection increase</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r>
              <w:rPr>
                <w:rFonts w:ascii="Arial" w:cs="Arial" w:eastAsia="Arial" w:hAnsi="Arial"/>
                <w:color w:val="1A1A2E"/>
                <w:sz w:val="22"/>
                <w:szCs w:val="22"/>
              </w:rPr>
              <w:t xml:space="preserve">+19.1%</w:t>
            </w:r>
          </w:p>
        </w:tc>
      </w:tr>
      <w:tr>
        <w:tc>
          <w:tcPr>
            <w:tcW w:type="dxa" w:w="3500"/>
            <w:tcBorders>
              <w:top w:val="single" w:color="CCCCCC" w:sz="1"/>
              <w:left w:val="single" w:color="CCCCCC" w:sz="1"/>
              <w:bottom w:val="single" w:color="CCCCCC" w:sz="1"/>
              <w:right w:val="single" w:color="CCCCCC" w:sz="1"/>
            </w:tcBorders>
            <w:shd w:fill="F2F4F6" w:val="clear"/>
            <w:tcMar>
              <w:top w:type="dxa" w:w="100"/>
              <w:left w:type="dxa" w:w="150"/>
              <w:bottom w:type="dxa" w:w="100"/>
              <w:right w:type="dxa" w:w="150"/>
            </w:tcMar>
            <w:vAlign w:val="top"/>
          </w:tcPr>
          <w:p>
            <w:r>
              <w:rPr>
                <w:rFonts w:ascii="Arial" w:cs="Arial" w:eastAsia="Arial" w:hAnsi="Arial"/>
                <w:b/>
                <w:bCs/>
                <w:color w:val="1E3A5F"/>
                <w:sz w:val="22"/>
                <w:szCs w:val="22"/>
              </w:rPr>
              <w:t xml:space="preserve">Ombudsman win rate</w:t>
            </w:r>
          </w:p>
        </w:tc>
        <w:tc>
          <w:tcPr>
            <w:tcW w:type="dxa" w:w="5860"/>
            <w:tcBorders>
              <w:top w:val="single" w:color="CCCCCC" w:sz="1"/>
              <w:left w:val="single" w:color="CCCCCC" w:sz="1"/>
              <w:bottom w:val="single" w:color="CCCCCC" w:sz="1"/>
              <w:right w:val="single" w:color="CCCCCC" w:sz="1"/>
            </w:tcBorders>
            <w:shd w:fill="F2F4F6" w:val="clear"/>
            <w:tcMar>
              <w:top w:type="dxa" w:w="100"/>
              <w:left w:type="dxa" w:w="150"/>
              <w:bottom w:type="dxa" w:w="100"/>
              <w:right w:type="dxa" w:w="150"/>
            </w:tcMar>
            <w:vAlign w:val="top"/>
          </w:tcPr>
          <w:p>
            <w:r>
              <w:rPr>
                <w:rFonts w:ascii="Arial" w:cs="Arial" w:eastAsia="Arial" w:hAnsi="Arial"/>
                <w:color w:val="1A1A2E"/>
                <w:sz w:val="22"/>
                <w:szCs w:val="22"/>
              </w:rPr>
              <w:t xml:space="preserve">~70% in policyholder's favour</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r>
              <w:rPr>
                <w:rFonts w:ascii="Arial" w:cs="Arial" w:eastAsia="Arial" w:hAnsi="Arial"/>
                <w:b/>
                <w:bCs/>
                <w:color w:val="1E3A5F"/>
                <w:sz w:val="22"/>
                <w:szCs w:val="22"/>
              </w:rPr>
              <w:t xml:space="preserve">Ombudsman cap (2023 raise)</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r>
              <w:rPr>
                <w:rFonts w:ascii="Arial" w:cs="Arial" w:eastAsia="Arial" w:hAnsi="Arial"/>
                <w:color w:val="1A1A2E"/>
                <w:sz w:val="22"/>
                <w:szCs w:val="22"/>
              </w:rPr>
              <w:t xml:space="preserve">₹50 lakh per case</w:t>
            </w:r>
          </w:p>
        </w:tc>
      </w:tr>
      <w:tr>
        <w:tc>
          <w:tcPr>
            <w:tcW w:type="dxa" w:w="3500"/>
            <w:tcBorders>
              <w:top w:val="single" w:color="CCCCCC" w:sz="1"/>
              <w:left w:val="single" w:color="CCCCCC" w:sz="1"/>
              <w:bottom w:val="single" w:color="CCCCCC" w:sz="1"/>
              <w:right w:val="single" w:color="CCCCCC" w:sz="1"/>
            </w:tcBorders>
            <w:shd w:fill="F2F4F6" w:val="clear"/>
            <w:tcMar>
              <w:top w:type="dxa" w:w="100"/>
              <w:left w:type="dxa" w:w="150"/>
              <w:bottom w:type="dxa" w:w="100"/>
              <w:right w:type="dxa" w:w="150"/>
            </w:tcMar>
            <w:vAlign w:val="top"/>
          </w:tcPr>
          <w:p>
            <w:r>
              <w:rPr>
                <w:rFonts w:ascii="Arial" w:cs="Arial" w:eastAsia="Arial" w:hAnsi="Arial"/>
                <w:b/>
                <w:bCs/>
                <w:color w:val="1E3A5F"/>
                <w:sz w:val="22"/>
                <w:szCs w:val="22"/>
              </w:rPr>
              <w:t xml:space="preserve">Competitor revenue (Insurance Samadhan)</w:t>
            </w:r>
          </w:p>
        </w:tc>
        <w:tc>
          <w:tcPr>
            <w:tcW w:type="dxa" w:w="5860"/>
            <w:tcBorders>
              <w:top w:val="single" w:color="CCCCCC" w:sz="1"/>
              <w:left w:val="single" w:color="CCCCCC" w:sz="1"/>
              <w:bottom w:val="single" w:color="CCCCCC" w:sz="1"/>
              <w:right w:val="single" w:color="CCCCCC" w:sz="1"/>
            </w:tcBorders>
            <w:shd w:fill="F2F4F6" w:val="clear"/>
            <w:tcMar>
              <w:top w:type="dxa" w:w="100"/>
              <w:left w:type="dxa" w:w="150"/>
              <w:bottom w:type="dxa" w:w="100"/>
              <w:right w:type="dxa" w:w="150"/>
            </w:tcMar>
            <w:vAlign w:val="top"/>
          </w:tcPr>
          <w:p>
            <w:r>
              <w:rPr>
                <w:rFonts w:ascii="Arial" w:cs="Arial" w:eastAsia="Arial" w:hAnsi="Arial"/>
                <w:color w:val="1A1A2E"/>
                <w:sz w:val="22"/>
                <w:szCs w:val="22"/>
              </w:rPr>
              <w:t xml:space="preserve">₹6.21 crore ARR on manual model</w:t>
            </w:r>
          </w:p>
        </w:tc>
      </w:tr>
    </w:tbl>
    <w:p>
      <w:pPr>
        <w:spacing w:after="0" w:before="60"/>
      </w:pPr>
    </w:p>
    <w:p>
      <w:pPr>
        <w:pStyle w:val="Heading2"/>
        <w:spacing w:after="100" w:before="240"/>
      </w:pPr>
      <w:r>
        <w:rPr>
          <w:rFonts w:ascii="Arial" w:cs="Arial" w:eastAsia="Arial" w:hAnsi="Arial"/>
          <w:b/>
          <w:bCs/>
          <w:color w:val="2E86AB"/>
          <w:sz w:val="26"/>
          <w:szCs w:val="26"/>
        </w:rPr>
        <w:t xml:space="preserve">The Product</w:t>
      </w:r>
    </w:p>
    <w:p>
      <w:pPr>
        <w:spacing w:after="60" w:before="60"/>
      </w:pPr>
      <w:r>
        <w:rPr>
          <w:rFonts w:ascii="Arial" w:cs="Arial" w:eastAsia="Arial" w:hAnsi="Arial"/>
          <w:color w:val="1A1A2E"/>
          <w:sz w:val="22"/>
          <w:szCs w:val="22"/>
        </w:rPr>
        <w:t xml:space="preserve">A three-layer AI-powered claims co-pilot:</w:t>
      </w:r>
    </w:p>
    <w:p>
      <w:pPr>
        <w:spacing w:after="0" w:before="60"/>
      </w:pPr>
    </w:p>
    <w:p>
      <w:pPr>
        <w:spacing w:after="80" w:before="160"/>
      </w:pPr>
      <w:r>
        <w:rPr>
          <w:rFonts w:ascii="Arial" w:cs="Arial" w:eastAsia="Arial" w:hAnsi="Arial"/>
          <w:b/>
          <w:bCs/>
          <w:color w:val="1E3A5F"/>
          <w:sz w:val="22"/>
          <w:szCs w:val="22"/>
        </w:rPr>
        <w:t xml:space="preserve">Layer 1 — Post-rejection Fight Engine (launch)</w:t>
      </w:r>
    </w:p>
    <w:p>
      <w:pPr>
        <w:pStyle w:val="ListParagraph"/>
        <w:numPr>
          <w:ilvl w:val="0"/>
          <w:numId w:val="2"/>
        </w:numPr>
        <w:spacing w:after="40" w:before="40"/>
      </w:pPr>
      <w:r>
        <w:rPr>
          <w:rFonts w:ascii="Arial" w:cs="Arial" w:eastAsia="Arial" w:hAnsi="Arial"/>
          <w:color w:val="1A1A2E"/>
          <w:sz w:val="22"/>
          <w:szCs w:val="22"/>
        </w:rPr>
        <w:t xml:space="preserve">Rejection Classifier: ingests rejection letter, maps against IRDAI guidelines and pattern database, outputs probability of reversal and fastest escalation path</w:t>
      </w:r>
    </w:p>
    <w:p>
      <w:pPr>
        <w:pStyle w:val="ListParagraph"/>
        <w:numPr>
          <w:ilvl w:val="0"/>
          <w:numId w:val="2"/>
        </w:numPr>
        <w:spacing w:after="40" w:before="40"/>
      </w:pPr>
      <w:r>
        <w:rPr>
          <w:rFonts w:ascii="Arial" w:cs="Arial" w:eastAsia="Arial" w:hAnsi="Arial"/>
          <w:color w:val="1A1A2E"/>
          <w:sz w:val="22"/>
          <w:szCs w:val="22"/>
        </w:rPr>
        <w:t xml:space="preserve">Document Checklist Generator: based on rejection type, outputs exact document set for grievance cell → Ombudsman → consumer court</w:t>
      </w:r>
    </w:p>
    <w:p>
      <w:pPr>
        <w:pStyle w:val="ListParagraph"/>
        <w:numPr>
          <w:ilvl w:val="0"/>
          <w:numId w:val="2"/>
        </w:numPr>
        <w:spacing w:after="40" w:before="40"/>
      </w:pPr>
      <w:r>
        <w:rPr>
          <w:rFonts w:ascii="Arial" w:cs="Arial" w:eastAsia="Arial" w:hAnsi="Arial"/>
          <w:color w:val="1A1A2E"/>
          <w:sz w:val="22"/>
          <w:szCs w:val="22"/>
        </w:rPr>
        <w:t xml:space="preserve">Escalation Letter Drafter: generates insurer grievance letter, IRDAI Bima Bharosa complaint, and Ombudsman filing in legally precise language</w:t>
      </w:r>
    </w:p>
    <w:p>
      <w:pPr>
        <w:pStyle w:val="ListParagraph"/>
        <w:numPr>
          <w:ilvl w:val="0"/>
          <w:numId w:val="2"/>
        </w:numPr>
        <w:spacing w:after="40" w:before="40"/>
      </w:pPr>
      <w:r>
        <w:rPr>
          <w:rFonts w:ascii="Arial" w:cs="Arial" w:eastAsia="Arial" w:hAnsi="Arial"/>
          <w:color w:val="1A1A2E"/>
          <w:sz w:val="22"/>
          <w:szCs w:val="22"/>
        </w:rPr>
        <w:t xml:space="preserve">Case Tracker: monitors IRDAI 14-day resolution mandate, auto-escalates on deadline breach, alerts user on each status change</w:t>
      </w:r>
    </w:p>
    <w:p>
      <w:pPr>
        <w:spacing w:after="0" w:before="60"/>
      </w:pPr>
    </w:p>
    <w:p>
      <w:pPr>
        <w:spacing w:after="80" w:before="160"/>
      </w:pPr>
      <w:r>
        <w:rPr>
          <w:rFonts w:ascii="Arial" w:cs="Arial" w:eastAsia="Arial" w:hAnsi="Arial"/>
          <w:b/>
          <w:bCs/>
          <w:color w:val="1E3A5F"/>
          <w:sz w:val="22"/>
          <w:szCs w:val="22"/>
        </w:rPr>
        <w:t xml:space="preserve">Layer 2 — Pre-Claim Readiness Check (Month 3)</w:t>
      </w:r>
    </w:p>
    <w:p>
      <w:pPr>
        <w:pStyle w:val="ListParagraph"/>
        <w:numPr>
          <w:ilvl w:val="0"/>
          <w:numId w:val="2"/>
        </w:numPr>
        <w:spacing w:after="40" w:before="40"/>
      </w:pPr>
      <w:r>
        <w:rPr>
          <w:rFonts w:ascii="Arial" w:cs="Arial" w:eastAsia="Arial" w:hAnsi="Arial"/>
          <w:color w:val="1A1A2E"/>
          <w:sz w:val="22"/>
          <w:szCs w:val="22"/>
        </w:rPr>
        <w:t xml:space="preserve">User uploads policy. Engine maps waiting periods against disclosed conditions, flags exclusion risks, scores documentation completeness.</w:t>
      </w:r>
    </w:p>
    <w:p>
      <w:pPr>
        <w:pStyle w:val="ListParagraph"/>
        <w:numPr>
          <w:ilvl w:val="0"/>
          <w:numId w:val="2"/>
        </w:numPr>
        <w:spacing w:after="40" w:before="40"/>
      </w:pPr>
      <w:r>
        <w:rPr>
          <w:rFonts w:ascii="Arial" w:cs="Arial" w:eastAsia="Arial" w:hAnsi="Arial"/>
          <w:color w:val="1A1A2E"/>
          <w:sz w:val="22"/>
          <w:szCs w:val="22"/>
        </w:rPr>
        <w:t xml:space="preserve">Outputs a 'Claim Readiness Score' (0–100) with specific actions to improve it before hospitalization.</w:t>
      </w:r>
    </w:p>
    <w:p>
      <w:pPr>
        <w:pStyle w:val="ListParagraph"/>
        <w:numPr>
          <w:ilvl w:val="0"/>
          <w:numId w:val="2"/>
        </w:numPr>
        <w:spacing w:after="40" w:before="40"/>
      </w:pPr>
      <w:r>
        <w:rPr>
          <w:rFonts w:ascii="Arial" w:cs="Arial" w:eastAsia="Arial" w:hAnsi="Arial"/>
          <w:color w:val="1A1A2E"/>
          <w:sz w:val="22"/>
          <w:szCs w:val="22"/>
        </w:rPr>
        <w:t xml:space="preserve">Top rejection causes this addresses: waiting periods (25%), exclusions (25%), unanswered queries (18%), documentation errors (16%)</w:t>
      </w:r>
    </w:p>
    <w:p>
      <w:pPr>
        <w:spacing w:after="0" w:before="60"/>
      </w:pPr>
    </w:p>
    <w:p>
      <w:pPr>
        <w:spacing w:after="80" w:before="160"/>
      </w:pPr>
      <w:r>
        <w:rPr>
          <w:rFonts w:ascii="Arial" w:cs="Arial" w:eastAsia="Arial" w:hAnsi="Arial"/>
          <w:b/>
          <w:bCs/>
          <w:color w:val="1E3A5F"/>
          <w:sz w:val="22"/>
          <w:szCs w:val="22"/>
        </w:rPr>
        <w:t xml:space="preserve">Layer 3 — B2B API (Month 9+)</w:t>
      </w:r>
    </w:p>
    <w:p>
      <w:pPr>
        <w:pStyle w:val="ListParagraph"/>
        <w:numPr>
          <w:ilvl w:val="0"/>
          <w:numId w:val="2"/>
        </w:numPr>
        <w:spacing w:after="40" w:before="40"/>
      </w:pPr>
      <w:r>
        <w:rPr>
          <w:rFonts w:ascii="Arial" w:cs="Arial" w:eastAsia="Arial" w:hAnsi="Arial"/>
          <w:color w:val="1A1A2E"/>
          <w:sz w:val="22"/>
          <w:szCs w:val="22"/>
        </w:rPr>
        <w:t xml:space="preserve">HR/Corporate dashboard: aggregate claim health for group policy members, rejection rate trends, documentation gap alerts — priced per employee/year</w:t>
      </w:r>
    </w:p>
    <w:p>
      <w:pPr>
        <w:pStyle w:val="ListParagraph"/>
        <w:numPr>
          <w:ilvl w:val="0"/>
          <w:numId w:val="2"/>
        </w:numPr>
        <w:spacing w:after="40" w:before="40"/>
      </w:pPr>
      <w:r>
        <w:rPr>
          <w:rFonts w:ascii="Arial" w:cs="Arial" w:eastAsia="Arial" w:hAnsi="Arial"/>
          <w:color w:val="1A1A2E"/>
          <w:sz w:val="22"/>
          <w:szCs w:val="22"/>
        </w:rPr>
        <w:t xml:space="preserve">Insurance broker white-label: proactive 'claim readiness report' for brokers to give clients post-sale</w:t>
      </w:r>
    </w:p>
    <w:p>
      <w:pPr>
        <w:pStyle w:val="ListParagraph"/>
        <w:numPr>
          <w:ilvl w:val="0"/>
          <w:numId w:val="2"/>
        </w:numPr>
        <w:spacing w:after="40" w:before="40"/>
      </w:pPr>
      <w:r>
        <w:rPr>
          <w:rFonts w:ascii="Arial" w:cs="Arial" w:eastAsia="Arial" w:hAnsi="Arial"/>
          <w:color w:val="1A1A2E"/>
          <w:sz w:val="22"/>
          <w:szCs w:val="22"/>
        </w:rPr>
        <w:t xml:space="preserve">Hospital TPA liaison tool: helps billing departments structure discharge summaries to avoid auto-decline triggers under IRDAI March 2026 rules</w:t>
      </w:r>
    </w:p>
    <w:p>
      <w:pPr>
        <w:spacing w:after="0" w:before="60"/>
      </w:pPr>
    </w:p>
    <w:p>
      <w:pPr>
        <w:pStyle w:val="Heading2"/>
        <w:spacing w:after="100" w:before="240"/>
      </w:pPr>
      <w:r>
        <w:rPr>
          <w:rFonts w:ascii="Arial" w:cs="Arial" w:eastAsia="Arial" w:hAnsi="Arial"/>
          <w:b/>
          <w:bCs/>
          <w:color w:val="2E86AB"/>
          <w:sz w:val="26"/>
          <w:szCs w:val="26"/>
        </w:rPr>
        <w:t xml:space="preserve">Revenue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F2F4F6" w:val="clear"/>
            <w:tcMar>
              <w:top w:type="dxa" w:w="100"/>
              <w:left w:type="dxa" w:w="150"/>
              <w:bottom w:type="dxa" w:w="100"/>
              <w:right w:type="dxa" w:w="150"/>
            </w:tcMar>
            <w:vAlign w:val="top"/>
          </w:tcPr>
          <w:p>
            <w:r>
              <w:rPr>
                <w:rFonts w:ascii="Arial" w:cs="Arial" w:eastAsia="Arial" w:hAnsi="Arial"/>
                <w:b/>
                <w:bCs/>
                <w:color w:val="1E3A5F"/>
                <w:sz w:val="22"/>
                <w:szCs w:val="22"/>
              </w:rPr>
              <w:t xml:space="preserve">Post-rejection success fee</w:t>
            </w:r>
          </w:p>
        </w:tc>
        <w:tc>
          <w:tcPr>
            <w:tcW w:type="dxa" w:w="5860"/>
            <w:tcBorders>
              <w:top w:val="single" w:color="CCCCCC" w:sz="1"/>
              <w:left w:val="single" w:color="CCCCCC" w:sz="1"/>
              <w:bottom w:val="single" w:color="CCCCCC" w:sz="1"/>
              <w:right w:val="single" w:color="CCCCCC" w:sz="1"/>
            </w:tcBorders>
            <w:shd w:fill="F2F4F6" w:val="clear"/>
            <w:tcMar>
              <w:top w:type="dxa" w:w="100"/>
              <w:left w:type="dxa" w:w="150"/>
              <w:bottom w:type="dxa" w:w="100"/>
              <w:right w:type="dxa" w:w="150"/>
            </w:tcMar>
            <w:vAlign w:val="top"/>
          </w:tcPr>
          <w:p>
            <w:r>
              <w:rPr>
                <w:rFonts w:ascii="Arial" w:cs="Arial" w:eastAsia="Arial" w:hAnsi="Arial"/>
                <w:color w:val="1A1A2E"/>
                <w:sz w:val="22"/>
                <w:szCs w:val="22"/>
              </w:rPr>
              <w:t xml:space="preserve">12–15% of recovered amount</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r>
              <w:rPr>
                <w:rFonts w:ascii="Arial" w:cs="Arial" w:eastAsia="Arial" w:hAnsi="Arial"/>
                <w:b/>
                <w:bCs/>
                <w:color w:val="1E3A5F"/>
                <w:sz w:val="22"/>
                <w:szCs w:val="22"/>
              </w:rPr>
              <w:t xml:space="preserve">Average rejected health claim</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r>
              <w:rPr>
                <w:rFonts w:ascii="Arial" w:cs="Arial" w:eastAsia="Arial" w:hAnsi="Arial"/>
                <w:color w:val="1A1A2E"/>
                <w:sz w:val="22"/>
                <w:szCs w:val="22"/>
              </w:rPr>
              <w:t xml:space="preserve">₹1.0–2.0 lakh</w:t>
            </w:r>
          </w:p>
        </w:tc>
      </w:tr>
      <w:tr>
        <w:tc>
          <w:tcPr>
            <w:tcW w:type="dxa" w:w="3500"/>
            <w:tcBorders>
              <w:top w:val="single" w:color="CCCCCC" w:sz="1"/>
              <w:left w:val="single" w:color="CCCCCC" w:sz="1"/>
              <w:bottom w:val="single" w:color="CCCCCC" w:sz="1"/>
              <w:right w:val="single" w:color="CCCCCC" w:sz="1"/>
            </w:tcBorders>
            <w:shd w:fill="F2F4F6" w:val="clear"/>
            <w:tcMar>
              <w:top w:type="dxa" w:w="100"/>
              <w:left w:type="dxa" w:w="150"/>
              <w:bottom w:type="dxa" w:w="100"/>
              <w:right w:type="dxa" w:w="150"/>
            </w:tcMar>
            <w:vAlign w:val="top"/>
          </w:tcPr>
          <w:p>
            <w:r>
              <w:rPr>
                <w:rFonts w:ascii="Arial" w:cs="Arial" w:eastAsia="Arial" w:hAnsi="Arial"/>
                <w:b/>
                <w:bCs/>
                <w:color w:val="1E3A5F"/>
                <w:sz w:val="22"/>
                <w:szCs w:val="22"/>
              </w:rPr>
              <w:t xml:space="preserve">Revenue per case</w:t>
            </w:r>
          </w:p>
        </w:tc>
        <w:tc>
          <w:tcPr>
            <w:tcW w:type="dxa" w:w="5860"/>
            <w:tcBorders>
              <w:top w:val="single" w:color="CCCCCC" w:sz="1"/>
              <w:left w:val="single" w:color="CCCCCC" w:sz="1"/>
              <w:bottom w:val="single" w:color="CCCCCC" w:sz="1"/>
              <w:right w:val="single" w:color="CCCCCC" w:sz="1"/>
            </w:tcBorders>
            <w:shd w:fill="F2F4F6" w:val="clear"/>
            <w:tcMar>
              <w:top w:type="dxa" w:w="100"/>
              <w:left w:type="dxa" w:w="150"/>
              <w:bottom w:type="dxa" w:w="100"/>
              <w:right w:type="dxa" w:w="150"/>
            </w:tcMar>
            <w:vAlign w:val="top"/>
          </w:tcPr>
          <w:p>
            <w:r>
              <w:rPr>
                <w:rFonts w:ascii="Arial" w:cs="Arial" w:eastAsia="Arial" w:hAnsi="Arial"/>
                <w:color w:val="1A1A2E"/>
                <w:sz w:val="22"/>
                <w:szCs w:val="22"/>
              </w:rPr>
              <w:t xml:space="preserve">₹12,000–30,000</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r>
              <w:rPr>
                <w:rFonts w:ascii="Arial" w:cs="Arial" w:eastAsia="Arial" w:hAnsi="Arial"/>
                <w:b/>
                <w:bCs/>
                <w:color w:val="1E3A5F"/>
                <w:sz w:val="22"/>
                <w:szCs w:val="22"/>
              </w:rPr>
              <w:t xml:space="preserve">Pre-claim subscription</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r>
              <w:rPr>
                <w:rFonts w:ascii="Arial" w:cs="Arial" w:eastAsia="Arial" w:hAnsi="Arial"/>
                <w:color w:val="1A1A2E"/>
                <w:sz w:val="22"/>
                <w:szCs w:val="22"/>
              </w:rPr>
              <w:t xml:space="preserve">₹499–999/year per family</w:t>
            </w:r>
          </w:p>
        </w:tc>
      </w:tr>
      <w:tr>
        <w:tc>
          <w:tcPr>
            <w:tcW w:type="dxa" w:w="3500"/>
            <w:tcBorders>
              <w:top w:val="single" w:color="CCCCCC" w:sz="1"/>
              <w:left w:val="single" w:color="CCCCCC" w:sz="1"/>
              <w:bottom w:val="single" w:color="CCCCCC" w:sz="1"/>
              <w:right w:val="single" w:color="CCCCCC" w:sz="1"/>
            </w:tcBorders>
            <w:shd w:fill="F2F4F6" w:val="clear"/>
            <w:tcMar>
              <w:top w:type="dxa" w:w="100"/>
              <w:left w:type="dxa" w:w="150"/>
              <w:bottom w:type="dxa" w:w="100"/>
              <w:right w:type="dxa" w:w="150"/>
            </w:tcMar>
            <w:vAlign w:val="top"/>
          </w:tcPr>
          <w:p>
            <w:r>
              <w:rPr>
                <w:rFonts w:ascii="Arial" w:cs="Arial" w:eastAsia="Arial" w:hAnsi="Arial"/>
                <w:b/>
                <w:bCs/>
                <w:color w:val="1E3A5F"/>
                <w:sz w:val="22"/>
                <w:szCs w:val="22"/>
              </w:rPr>
              <w:t xml:space="preserve">B2B corporate</w:t>
            </w:r>
          </w:p>
        </w:tc>
        <w:tc>
          <w:tcPr>
            <w:tcW w:type="dxa" w:w="5860"/>
            <w:tcBorders>
              <w:top w:val="single" w:color="CCCCCC" w:sz="1"/>
              <w:left w:val="single" w:color="CCCCCC" w:sz="1"/>
              <w:bottom w:val="single" w:color="CCCCCC" w:sz="1"/>
              <w:right w:val="single" w:color="CCCCCC" w:sz="1"/>
            </w:tcBorders>
            <w:shd w:fill="F2F4F6" w:val="clear"/>
            <w:tcMar>
              <w:top w:type="dxa" w:w="100"/>
              <w:left w:type="dxa" w:w="150"/>
              <w:bottom w:type="dxa" w:w="100"/>
              <w:right w:type="dxa" w:w="150"/>
            </w:tcMar>
            <w:vAlign w:val="top"/>
          </w:tcPr>
          <w:p>
            <w:r>
              <w:rPr>
                <w:rFonts w:ascii="Arial" w:cs="Arial" w:eastAsia="Arial" w:hAnsi="Arial"/>
                <w:color w:val="1A1A2E"/>
                <w:sz w:val="22"/>
                <w:szCs w:val="22"/>
              </w:rPr>
              <w:t xml:space="preserve">₹50–150/employee/year</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r>
              <w:rPr>
                <w:rFonts w:ascii="Arial" w:cs="Arial" w:eastAsia="Arial" w:hAnsi="Arial"/>
                <w:b/>
                <w:bCs/>
                <w:color w:val="1E3A5F"/>
                <w:sz w:val="22"/>
                <w:szCs w:val="22"/>
              </w:rPr>
              <w:t xml:space="preserve">Case registration fee (upfront)</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r>
              <w:rPr>
                <w:rFonts w:ascii="Arial" w:cs="Arial" w:eastAsia="Arial" w:hAnsi="Arial"/>
                <w:color w:val="1A1A2E"/>
                <w:sz w:val="22"/>
                <w:szCs w:val="22"/>
              </w:rPr>
              <w:t xml:space="preserve">₹499 non-refundable (reduces CAC, working capital)</w:t>
            </w:r>
          </w:p>
        </w:tc>
      </w:tr>
    </w:tbl>
    <w:p>
      <w:pPr>
        <w:spacing w:after="0" w:before="60"/>
      </w:pPr>
    </w:p>
    <w:p>
      <w:pPr>
        <w:spacing w:after="60" w:before="60"/>
      </w:pPr>
      <w:r>
        <w:rPr>
          <w:rFonts w:ascii="Arial" w:cs="Arial" w:eastAsia="Arial" w:hAnsi="Arial"/>
          <w:color w:val="1A1A2E"/>
          <w:sz w:val="22"/>
          <w:szCs w:val="22"/>
        </w:rPr>
        <w:t xml:space="preserve">Working capital note: Ombudsman cases take 3–4 months to resolve. The ₹499 registration fee and expedited track (₹1,999) partially bridge this gap. At 50 cases/month with 70% win rate and ₹13% fee: ₹5.5L MRR by Month 3.</w:t>
      </w:r>
    </w:p>
    <w:p>
      <w:pPr>
        <w:spacing w:after="0" w:before="60"/>
      </w:pPr>
    </w:p>
    <w:p>
      <w:pPr>
        <w:pStyle w:val="Heading2"/>
        <w:spacing w:after="100" w:before="240"/>
      </w:pPr>
      <w:r>
        <w:rPr>
          <w:rFonts w:ascii="Arial" w:cs="Arial" w:eastAsia="Arial" w:hAnsi="Arial"/>
          <w:b/>
          <w:bCs/>
          <w:color w:val="2E86AB"/>
          <w:sz w:val="26"/>
          <w:szCs w:val="26"/>
        </w:rPr>
        <w:t xml:space="preserve">Competitive Moat</w:t>
      </w:r>
    </w:p>
    <w:p>
      <w:pPr>
        <w:pStyle w:val="ListParagraph"/>
        <w:numPr>
          <w:ilvl w:val="0"/>
          <w:numId w:val="2"/>
        </w:numPr>
        <w:spacing w:after="40" w:before="40"/>
      </w:pPr>
      <w:r>
        <w:rPr>
          <w:rFonts w:ascii="Arial" w:cs="Arial" w:eastAsia="Arial" w:hAnsi="Arial"/>
          <w:color w:val="1A1A2E"/>
          <w:sz w:val="22"/>
          <w:szCs w:val="22"/>
        </w:rPr>
        <w:t xml:space="preserve">Rejection pattern database: every case resolved adds a structured data point — insurer × ICD code × rejection reason × document that won. This compounds. Case 5,000 is cheaper to resolve than Case 1, unlike Insurance Samadhan's manual model.</w:t>
      </w:r>
    </w:p>
    <w:p>
      <w:pPr>
        <w:pStyle w:val="ListParagraph"/>
        <w:numPr>
          <w:ilvl w:val="0"/>
          <w:numId w:val="2"/>
        </w:numPr>
        <w:spacing w:after="40" w:before="40"/>
      </w:pPr>
      <w:r>
        <w:rPr>
          <w:rFonts w:ascii="Arial" w:cs="Arial" w:eastAsia="Arial" w:hAnsi="Arial"/>
          <w:color w:val="1A1A2E"/>
          <w:sz w:val="22"/>
          <w:szCs w:val="22"/>
        </w:rPr>
        <w:t xml:space="preserve">IRDAI tailwind: Draft Ombudsman Rules 2025 propose 100% penalty on awarded amount for non-compliance. Makes escalation more credible, increases leverage.</w:t>
      </w:r>
    </w:p>
    <w:p>
      <w:pPr>
        <w:pStyle w:val="ListParagraph"/>
        <w:numPr>
          <w:ilvl w:val="0"/>
          <w:numId w:val="2"/>
        </w:numPr>
        <w:spacing w:after="40" w:before="40"/>
      </w:pPr>
      <w:r>
        <w:rPr>
          <w:rFonts w:ascii="Arial" w:cs="Arial" w:eastAsia="Arial" w:hAnsi="Arial"/>
          <w:color w:val="1A1A2E"/>
          <w:sz w:val="22"/>
          <w:szCs w:val="22"/>
        </w:rPr>
        <w:t xml:space="preserve">Brand moat: the moment of claim rejection is peak emotional distress. A brand that shows up there owns the relationship.</w:t>
      </w:r>
    </w:p>
    <w:p>
      <w:pPr>
        <w:pStyle w:val="ListParagraph"/>
        <w:numPr>
          <w:ilvl w:val="0"/>
          <w:numId w:val="2"/>
        </w:numPr>
        <w:spacing w:after="40" w:before="40"/>
      </w:pPr>
      <w:r>
        <w:rPr>
          <w:rFonts w:ascii="Arial" w:cs="Arial" w:eastAsia="Arial" w:hAnsi="Arial"/>
          <w:color w:val="1A1A2E"/>
          <w:sz w:val="22"/>
          <w:szCs w:val="22"/>
        </w:rPr>
        <w:t xml:space="preserve">Structural: Bima Sugam is prohibited from storing customer data, so cannot build longitudinal claim advocacy.</w:t>
      </w:r>
    </w:p>
    <w:p>
      <w:pPr>
        <w:spacing w:after="0" w:before="60"/>
      </w:pPr>
    </w:p>
    <w:p>
      <w:pPr>
        <w:pStyle w:val="Heading2"/>
        <w:spacing w:after="100" w:before="240"/>
      </w:pPr>
      <w:r>
        <w:rPr>
          <w:rFonts w:ascii="Arial" w:cs="Arial" w:eastAsia="Arial" w:hAnsi="Arial"/>
          <w:b/>
          <w:bCs/>
          <w:color w:val="2E86AB"/>
          <w:sz w:val="26"/>
          <w:szCs w:val="26"/>
        </w:rPr>
        <w:t xml:space="preserve">Risks &amp; Mitigations</w:t>
      </w:r>
    </w:p>
    <w:p>
      <w:pPr>
        <w:pStyle w:val="ListParagraph"/>
        <w:numPr>
          <w:ilvl w:val="0"/>
          <w:numId w:val="2"/>
        </w:numPr>
        <w:spacing w:after="40" w:before="40"/>
      </w:pPr>
      <w:r>
        <w:rPr>
          <w:rFonts w:ascii="Arial" w:cs="Arial" w:eastAsia="Arial" w:hAnsi="Arial"/>
          <w:color w:val="1A1A2E"/>
          <w:sz w:val="22"/>
          <w:szCs w:val="22"/>
        </w:rPr>
        <w:t xml:space="preserve">Working capital lock: mitigated via upfront registration fee and expedited paid track</w:t>
      </w:r>
    </w:p>
    <w:p>
      <w:pPr>
        <w:pStyle w:val="ListParagraph"/>
        <w:numPr>
          <w:ilvl w:val="0"/>
          <w:numId w:val="2"/>
        </w:numPr>
        <w:spacing w:after="40" w:before="40"/>
      </w:pPr>
      <w:r>
        <w:rPr>
          <w:rFonts w:ascii="Arial" w:cs="Arial" w:eastAsia="Arial" w:hAnsi="Arial"/>
          <w:color w:val="1A1A2E"/>
          <w:sz w:val="22"/>
          <w:szCs w:val="22"/>
        </w:rPr>
        <w:t xml:space="preserve">Adverse selection — complex, old cases: mitigate by restricting launch to claims under 6 months old, amounts under ₹5 lakh, health insurance only</w:t>
      </w:r>
    </w:p>
    <w:p>
      <w:pPr>
        <w:pStyle w:val="ListParagraph"/>
        <w:numPr>
          <w:ilvl w:val="0"/>
          <w:numId w:val="2"/>
        </w:numPr>
        <w:spacing w:after="40" w:before="40"/>
      </w:pPr>
      <w:r>
        <w:rPr>
          <w:rFonts w:ascii="Arial" w:cs="Arial" w:eastAsia="Arial" w:hAnsi="Arial"/>
          <w:color w:val="1A1A2E"/>
          <w:sz w:val="22"/>
          <w:szCs w:val="22"/>
        </w:rPr>
        <w:t xml:space="preserve">Insurance Samadhan copies product: their technical weakness is the answer; build the data layer they don't have</w:t>
      </w:r>
    </w:p>
    <w:p>
      <w:pPr>
        <w:pStyle w:val="ListParagraph"/>
        <w:numPr>
          <w:ilvl w:val="0"/>
          <w:numId w:val="2"/>
        </w:numPr>
        <w:spacing w:after="40" w:before="40"/>
      </w:pPr>
      <w:r>
        <w:rPr>
          <w:rFonts w:ascii="Arial" w:cs="Arial" w:eastAsia="Arial" w:hAnsi="Arial"/>
          <w:color w:val="1A1A2E"/>
          <w:sz w:val="22"/>
          <w:szCs w:val="22"/>
        </w:rPr>
        <w:t xml:space="preserve">Regulatory: operates in gray zone as 'information and drafting service' not legal representation. Insurance Samadhan has operated 7 years in the same zone.</w:t>
      </w:r>
    </w:p>
    <w:p>
      <w:pPr>
        <w:spacing w:after="0" w:before="60"/>
      </w:pPr>
    </w:p>
    <w:p>
      <w:pPr>
        <w:pStyle w:val="Heading2"/>
        <w:spacing w:after="100" w:before="240"/>
      </w:pPr>
      <w:r>
        <w:rPr>
          <w:rFonts w:ascii="Arial" w:cs="Arial" w:eastAsia="Arial" w:hAnsi="Arial"/>
          <w:b/>
          <w:bCs/>
          <w:color w:val="2E86AB"/>
          <w:sz w:val="26"/>
          <w:szCs w:val="26"/>
        </w:rPr>
        <w:t xml:space="preserve">Key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F2F4F6" w:val="clear"/>
            <w:tcMar>
              <w:top w:type="dxa" w:w="100"/>
              <w:left w:type="dxa" w:w="150"/>
              <w:bottom w:type="dxa" w:w="100"/>
              <w:right w:type="dxa" w:w="150"/>
            </w:tcMar>
            <w:vAlign w:val="top"/>
          </w:tcPr>
          <w:p>
            <w:r>
              <w:rPr>
                <w:rFonts w:ascii="Arial" w:cs="Arial" w:eastAsia="Arial" w:hAnsi="Arial"/>
                <w:b/>
                <w:bCs/>
                <w:color w:val="1E3A5F"/>
                <w:sz w:val="22"/>
                <w:szCs w:val="22"/>
              </w:rPr>
              <w:t xml:space="preserve">Month 1 target</w:t>
            </w:r>
          </w:p>
        </w:tc>
        <w:tc>
          <w:tcPr>
            <w:tcW w:type="dxa" w:w="5860"/>
            <w:tcBorders>
              <w:top w:val="single" w:color="CCCCCC" w:sz="1"/>
              <w:left w:val="single" w:color="CCCCCC" w:sz="1"/>
              <w:bottom w:val="single" w:color="CCCCCC" w:sz="1"/>
              <w:right w:val="single" w:color="CCCCCC" w:sz="1"/>
            </w:tcBorders>
            <w:shd w:fill="F2F4F6" w:val="clear"/>
            <w:tcMar>
              <w:top w:type="dxa" w:w="100"/>
              <w:left w:type="dxa" w:w="150"/>
              <w:bottom w:type="dxa" w:w="100"/>
              <w:right w:type="dxa" w:w="150"/>
            </w:tcMar>
            <w:vAlign w:val="top"/>
          </w:tcPr>
          <w:p>
            <w:r>
              <w:rPr>
                <w:rFonts w:ascii="Arial" w:cs="Arial" w:eastAsia="Arial" w:hAnsi="Arial"/>
                <w:color w:val="1A1A2E"/>
                <w:sz w:val="22"/>
                <w:szCs w:val="22"/>
              </w:rPr>
              <w:t xml:space="preserve">30 manually resolved cases, ₹0 revenue, max learning</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r>
              <w:rPr>
                <w:rFonts w:ascii="Arial" w:cs="Arial" w:eastAsia="Arial" w:hAnsi="Arial"/>
                <w:b/>
                <w:bCs/>
                <w:color w:val="1E3A5F"/>
                <w:sz w:val="22"/>
                <w:szCs w:val="22"/>
              </w:rPr>
              <w:t xml:space="preserve">Month 3 MRR target</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r>
              <w:rPr>
                <w:rFonts w:ascii="Arial" w:cs="Arial" w:eastAsia="Arial" w:hAnsi="Arial"/>
                <w:color w:val="1A1A2E"/>
                <w:sz w:val="22"/>
                <w:szCs w:val="22"/>
              </w:rPr>
              <w:t xml:space="preserve">₹5.5L (50 cases/month)</w:t>
            </w:r>
          </w:p>
        </w:tc>
      </w:tr>
      <w:tr>
        <w:tc>
          <w:tcPr>
            <w:tcW w:type="dxa" w:w="3500"/>
            <w:tcBorders>
              <w:top w:val="single" w:color="CCCCCC" w:sz="1"/>
              <w:left w:val="single" w:color="CCCCCC" w:sz="1"/>
              <w:bottom w:val="single" w:color="CCCCCC" w:sz="1"/>
              <w:right w:val="single" w:color="CCCCCC" w:sz="1"/>
            </w:tcBorders>
            <w:shd w:fill="F2F4F6" w:val="clear"/>
            <w:tcMar>
              <w:top w:type="dxa" w:w="100"/>
              <w:left w:type="dxa" w:w="150"/>
              <w:bottom w:type="dxa" w:w="100"/>
              <w:right w:type="dxa" w:w="150"/>
            </w:tcMar>
            <w:vAlign w:val="top"/>
          </w:tcPr>
          <w:p>
            <w:r>
              <w:rPr>
                <w:rFonts w:ascii="Arial" w:cs="Arial" w:eastAsia="Arial" w:hAnsi="Arial"/>
                <w:b/>
                <w:bCs/>
                <w:color w:val="1E3A5F"/>
                <w:sz w:val="22"/>
                <w:szCs w:val="22"/>
              </w:rPr>
              <w:t xml:space="preserve">Month 6 MRR target</w:t>
            </w:r>
          </w:p>
        </w:tc>
        <w:tc>
          <w:tcPr>
            <w:tcW w:type="dxa" w:w="5860"/>
            <w:tcBorders>
              <w:top w:val="single" w:color="CCCCCC" w:sz="1"/>
              <w:left w:val="single" w:color="CCCCCC" w:sz="1"/>
              <w:bottom w:val="single" w:color="CCCCCC" w:sz="1"/>
              <w:right w:val="single" w:color="CCCCCC" w:sz="1"/>
            </w:tcBorders>
            <w:shd w:fill="F2F4F6" w:val="clear"/>
            <w:tcMar>
              <w:top w:type="dxa" w:w="100"/>
              <w:left w:type="dxa" w:w="150"/>
              <w:bottom w:type="dxa" w:w="100"/>
              <w:right w:type="dxa" w:w="150"/>
            </w:tcMar>
            <w:vAlign w:val="top"/>
          </w:tcPr>
          <w:p>
            <w:r>
              <w:rPr>
                <w:rFonts w:ascii="Arial" w:cs="Arial" w:eastAsia="Arial" w:hAnsi="Arial"/>
                <w:color w:val="1A1A2E"/>
                <w:sz w:val="22"/>
                <w:szCs w:val="22"/>
              </w:rPr>
              <w:t xml:space="preserve">₹24L (300 cases + 2,000 subscriptions)</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r>
              <w:rPr>
                <w:rFonts w:ascii="Arial" w:cs="Arial" w:eastAsia="Arial" w:hAnsi="Arial"/>
                <w:b/>
                <w:bCs/>
                <w:color w:val="1E3A5F"/>
                <w:sz w:val="22"/>
                <w:szCs w:val="22"/>
              </w:rPr>
              <w:t xml:space="preserve">Month 12 MRR target</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r>
              <w:rPr>
                <w:rFonts w:ascii="Arial" w:cs="Arial" w:eastAsia="Arial" w:hAnsi="Arial"/>
                <w:color w:val="1A1A2E"/>
                <w:sz w:val="22"/>
                <w:szCs w:val="22"/>
              </w:rPr>
              <w:t xml:space="preserve">₹45L (1,000 cases + 15,000 subscriptions + B2B pilots)</w:t>
            </w:r>
          </w:p>
        </w:tc>
      </w:tr>
      <w:tr>
        <w:tc>
          <w:tcPr>
            <w:tcW w:type="dxa" w:w="3500"/>
            <w:tcBorders>
              <w:top w:val="single" w:color="CCCCCC" w:sz="1"/>
              <w:left w:val="single" w:color="CCCCCC" w:sz="1"/>
              <w:bottom w:val="single" w:color="CCCCCC" w:sz="1"/>
              <w:right w:val="single" w:color="CCCCCC" w:sz="1"/>
            </w:tcBorders>
            <w:shd w:fill="F2F4F6" w:val="clear"/>
            <w:tcMar>
              <w:top w:type="dxa" w:w="100"/>
              <w:left w:type="dxa" w:w="150"/>
              <w:bottom w:type="dxa" w:w="100"/>
              <w:right w:type="dxa" w:w="150"/>
            </w:tcMar>
            <w:vAlign w:val="top"/>
          </w:tcPr>
          <w:p>
            <w:r>
              <w:rPr>
                <w:rFonts w:ascii="Arial" w:cs="Arial" w:eastAsia="Arial" w:hAnsi="Arial"/>
                <w:b/>
                <w:bCs/>
                <w:color w:val="1E3A5F"/>
                <w:sz w:val="22"/>
                <w:szCs w:val="22"/>
              </w:rPr>
              <w:t xml:space="preserve">Win rate target (Month 6)</w:t>
            </w:r>
          </w:p>
        </w:tc>
        <w:tc>
          <w:tcPr>
            <w:tcW w:type="dxa" w:w="5860"/>
            <w:tcBorders>
              <w:top w:val="single" w:color="CCCCCC" w:sz="1"/>
              <w:left w:val="single" w:color="CCCCCC" w:sz="1"/>
              <w:bottom w:val="single" w:color="CCCCCC" w:sz="1"/>
              <w:right w:val="single" w:color="CCCCCC" w:sz="1"/>
            </w:tcBorders>
            <w:shd w:fill="F2F4F6" w:val="clear"/>
            <w:tcMar>
              <w:top w:type="dxa" w:w="100"/>
              <w:left w:type="dxa" w:w="150"/>
              <w:bottom w:type="dxa" w:w="100"/>
              <w:right w:type="dxa" w:w="150"/>
            </w:tcMar>
            <w:vAlign w:val="top"/>
          </w:tcPr>
          <w:p>
            <w:r>
              <w:rPr>
                <w:rFonts w:ascii="Arial" w:cs="Arial" w:eastAsia="Arial" w:hAnsi="Arial"/>
                <w:color w:val="1A1A2E"/>
                <w:sz w:val="22"/>
                <w:szCs w:val="22"/>
              </w:rPr>
              <w:t xml:space="preserve">70%+ (build rejection pattern DB fast)</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r>
              <w:rPr>
                <w:rFonts w:ascii="Arial" w:cs="Arial" w:eastAsia="Arial" w:hAnsi="Arial"/>
                <w:b/>
                <w:bCs/>
                <w:color w:val="1E3A5F"/>
                <w:sz w:val="22"/>
                <w:szCs w:val="22"/>
              </w:rPr>
              <w:t xml:space="preserve">North Star</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r>
              <w:rPr>
                <w:rFonts w:ascii="Arial" w:cs="Arial" w:eastAsia="Arial" w:hAnsi="Arial"/>
                <w:color w:val="1A1A2E"/>
                <w:sz w:val="22"/>
                <w:szCs w:val="22"/>
              </w:rPr>
              <w:t xml:space="preserve">₹ recovered per ₹ invested in the platform</w:t>
            </w:r>
          </w:p>
        </w:tc>
      </w:tr>
    </w:tbl>
    <w:p>
      <w:pPr>
        <w:spacing w:after="0" w:before="60"/>
      </w:pPr>
    </w:p>
    <w:p>
      <w:pPr>
        <w:pStyle w:val="Heading2"/>
        <w:spacing w:after="100" w:before="240"/>
      </w:pPr>
      <w:r>
        <w:rPr>
          <w:rFonts w:ascii="Arial" w:cs="Arial" w:eastAsia="Arial" w:hAnsi="Arial"/>
          <w:b/>
          <w:bCs/>
          <w:color w:val="2E86AB"/>
          <w:sz w:val="26"/>
          <w:szCs w:val="26"/>
        </w:rPr>
        <w:t xml:space="preserve">First 90 Days</w:t>
      </w:r>
    </w:p>
    <w:p>
      <w:pPr>
        <w:pStyle w:val="ListParagraph"/>
        <w:numPr>
          <w:ilvl w:val="0"/>
          <w:numId w:val="2"/>
        </w:numPr>
        <w:spacing w:after="40" w:before="40"/>
      </w:pPr>
      <w:r>
        <w:rPr>
          <w:rFonts w:ascii="Arial" w:cs="Arial" w:eastAsia="Arial" w:hAnsi="Arial"/>
          <w:color w:val="1A1A2E"/>
          <w:sz w:val="22"/>
          <w:szCs w:val="22"/>
        </w:rPr>
        <w:t xml:space="preserve">Days 1–30: 30 cases manually. No tech. Post in Reddit r/IndiaInvestments, consumer court Facebook groups, LinkedIn insurance communities. Build rejection taxonomy by insurer.</w:t>
      </w:r>
    </w:p>
    <w:p>
      <w:pPr>
        <w:pStyle w:val="ListParagraph"/>
        <w:numPr>
          <w:ilvl w:val="0"/>
          <w:numId w:val="2"/>
        </w:numPr>
        <w:spacing w:after="40" w:before="40"/>
      </w:pPr>
      <w:r>
        <w:rPr>
          <w:rFonts w:ascii="Arial" w:cs="Arial" w:eastAsia="Arial" w:hAnsi="Arial"/>
          <w:color w:val="1A1A2E"/>
          <w:sz w:val="22"/>
          <w:szCs w:val="22"/>
        </w:rPr>
        <w:t xml:space="preserve">Days 31–60: WhatsApp-based intake (Twilio/WATI). User sends rejection letter + policy. Receive: rejection classification + escalation letter + document checklist. Target ₹10L recovered, ₹1.2L fees.</w:t>
      </w:r>
    </w:p>
    <w:p>
      <w:pPr>
        <w:pStyle w:val="ListParagraph"/>
        <w:numPr>
          <w:ilvl w:val="0"/>
          <w:numId w:val="2"/>
        </w:numPr>
        <w:spacing w:after="40" w:before="40"/>
      </w:pPr>
      <w:r>
        <w:rPr>
          <w:rFonts w:ascii="Arial" w:cs="Arial" w:eastAsia="Arial" w:hAnsi="Arial"/>
          <w:color w:val="1A1A2E"/>
          <w:sz w:val="22"/>
          <w:szCs w:val="22"/>
        </w:rPr>
        <w:t xml:space="preserve">Days 61–90: Build lightweight web tool for Suraksha Check. Waitlist at ₹499. Target 200 paying subscribers. Total MRR: ₹1.5L+.</w:t>
      </w:r>
    </w:p>
    <w:p>
      <w:pPr>
        <w:pBdr>
          <w:bottom w:val="single" w:color="2E86AB" w:sz="4" w:space="1"/>
        </w:pBdr>
        <w:spacing w:after="120" w:before="120"/>
      </w:pPr>
    </w:p>
    <w:p>
      <w:r>
        <w:br w:type="page"/>
      </w:r>
    </w:p>
    <w:p>
      <w:pPr>
        <w:spacing w:after="120" w:before="0"/>
      </w:pPr>
      <w:r>
        <w:rPr>
          <w:rFonts w:ascii="Arial" w:cs="Arial" w:eastAsia="Arial" w:hAnsi="Arial"/>
          <w:b/>
          <w:bCs/>
          <w:color w:val="2E86AB"/>
          <w:sz w:val="36"/>
          <w:szCs w:val="36"/>
        </w:rPr>
        <w:t xml:space="preserve">Idea 2  </w:t>
      </w:r>
      <w:r>
        <w:rPr>
          <w:rFonts w:ascii="Arial" w:cs="Arial" w:eastAsia="Arial" w:hAnsi="Arial"/>
          <w:b/>
          <w:bCs/>
          <w:color w:val="1E3A5F"/>
          <w:sz w:val="36"/>
          <w:szCs w:val="36"/>
        </w:rPr>
        <w:t xml:space="preserve">Policy Health Score</w:t>
      </w:r>
    </w:p>
    <w:p>
      <w:pPr>
        <w:spacing w:after="240" w:before="0"/>
      </w:pPr>
      <w:r>
        <w:rPr>
          <w:rFonts w:ascii="Arial" w:cs="Arial" w:eastAsia="Arial" w:hAnsi="Arial"/>
          <w:i/>
          <w:iCs/>
          <w:color w:val="555555"/>
          <w:sz w:val="24"/>
          <w:szCs w:val="24"/>
        </w:rPr>
        <w:t xml:space="preserve">"Every aggregator optimizes for the sale. Nobody owns the 3 years after."</w:t>
      </w:r>
    </w:p>
    <w:p>
      <w:pPr>
        <w:pStyle w:val="Heading2"/>
        <w:spacing w:after="100" w:before="240"/>
      </w:pPr>
      <w:r>
        <w:rPr>
          <w:rFonts w:ascii="Arial" w:cs="Arial" w:eastAsia="Arial" w:hAnsi="Arial"/>
          <w:b/>
          <w:bCs/>
          <w:color w:val="2E86AB"/>
          <w:sz w:val="26"/>
          <w:szCs w:val="26"/>
        </w:rPr>
        <w:t xml:space="preserve">The Problem</w:t>
      </w:r>
    </w:p>
    <w:p>
      <w:pPr>
        <w:spacing w:after="60" w:before="60"/>
      </w:pPr>
      <w:r>
        <w:rPr>
          <w:rFonts w:ascii="Arial" w:cs="Arial" w:eastAsia="Arial" w:hAnsi="Arial"/>
          <w:color w:val="1A1A2E"/>
          <w:sz w:val="22"/>
          <w:szCs w:val="22"/>
        </w:rPr>
        <w:t xml:space="preserve">India's insurance protection gap is growing at 4% per annum. The primary cause is not lack of purchase — it's lack of post-purchase management. People buy a policy, file it away, and forget it. Life changes (marriage, childbirth, parent's illness, salary jump, property purchase) that should trigger coverage reviews never do.</w:t>
      </w:r>
    </w:p>
    <w:p>
      <w:pPr>
        <w:spacing w:after="0" w:before="60"/>
      </w:pPr>
    </w:p>
    <w:p>
      <w:pPr>
        <w:spacing w:after="60" w:before="60"/>
      </w:pPr>
      <w:r>
        <w:rPr>
          <w:rFonts w:ascii="Arial" w:cs="Arial" w:eastAsia="Arial" w:hAnsi="Arial"/>
          <w:color w:val="1A1A2E"/>
          <w:sz w:val="22"/>
          <w:szCs w:val="22"/>
        </w:rPr>
        <w:t xml:space="preserve">Bima Sugam is structurally prohibited from storing customer data — by regulation — which means it cannot do longitudinal advisory. That gap is permanent, and it is exactly where this product lives.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F2F4F6" w:val="clear"/>
            <w:tcMar>
              <w:top w:type="dxa" w:w="100"/>
              <w:left w:type="dxa" w:w="150"/>
              <w:bottom w:type="dxa" w:w="100"/>
              <w:right w:type="dxa" w:w="150"/>
            </w:tcMar>
            <w:vAlign w:val="top"/>
          </w:tcPr>
          <w:p>
            <w:r>
              <w:rPr>
                <w:rFonts w:ascii="Arial" w:cs="Arial" w:eastAsia="Arial" w:hAnsi="Arial"/>
                <w:b/>
                <w:bCs/>
                <w:color w:val="1E3A5F"/>
                <w:sz w:val="22"/>
                <w:szCs w:val="22"/>
              </w:rPr>
              <w:t xml:space="preserve">Protection gap growth</w:t>
            </w:r>
          </w:p>
        </w:tc>
        <w:tc>
          <w:tcPr>
            <w:tcW w:type="dxa" w:w="5860"/>
            <w:tcBorders>
              <w:top w:val="single" w:color="CCCCCC" w:sz="1"/>
              <w:left w:val="single" w:color="CCCCCC" w:sz="1"/>
              <w:bottom w:val="single" w:color="CCCCCC" w:sz="1"/>
              <w:right w:val="single" w:color="CCCCCC" w:sz="1"/>
            </w:tcBorders>
            <w:shd w:fill="F2F4F6" w:val="clear"/>
            <w:tcMar>
              <w:top w:type="dxa" w:w="100"/>
              <w:left w:type="dxa" w:w="150"/>
              <w:bottom w:type="dxa" w:w="100"/>
              <w:right w:type="dxa" w:w="150"/>
            </w:tcMar>
            <w:vAlign w:val="top"/>
          </w:tcPr>
          <w:p>
            <w:r>
              <w:rPr>
                <w:rFonts w:ascii="Arial" w:cs="Arial" w:eastAsia="Arial" w:hAnsi="Arial"/>
                <w:color w:val="1A1A2E"/>
                <w:sz w:val="22"/>
                <w:szCs w:val="22"/>
              </w:rPr>
              <w:t xml:space="preserve">4% per annum (PwC India)</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r>
              <w:rPr>
                <w:rFonts w:ascii="Arial" w:cs="Arial" w:eastAsia="Arial" w:hAnsi="Arial"/>
                <w:b/>
                <w:bCs/>
                <w:color w:val="1E3A5F"/>
                <w:sz w:val="22"/>
                <w:szCs w:val="22"/>
              </w:rPr>
              <w:t xml:space="preserve">Policies bought and forgotten</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r>
              <w:rPr>
                <w:rFonts w:ascii="Arial" w:cs="Arial" w:eastAsia="Arial" w:hAnsi="Arial"/>
                <w:color w:val="1A1A2E"/>
                <w:sz w:val="22"/>
                <w:szCs w:val="22"/>
              </w:rPr>
              <w:t xml:space="preserve">Majority of retail policyholders per surveys</w:t>
            </w:r>
          </w:p>
        </w:tc>
      </w:tr>
      <w:tr>
        <w:tc>
          <w:tcPr>
            <w:tcW w:type="dxa" w:w="3500"/>
            <w:tcBorders>
              <w:top w:val="single" w:color="CCCCCC" w:sz="1"/>
              <w:left w:val="single" w:color="CCCCCC" w:sz="1"/>
              <w:bottom w:val="single" w:color="CCCCCC" w:sz="1"/>
              <w:right w:val="single" w:color="CCCCCC" w:sz="1"/>
            </w:tcBorders>
            <w:shd w:fill="F2F4F6" w:val="clear"/>
            <w:tcMar>
              <w:top w:type="dxa" w:w="100"/>
              <w:left w:type="dxa" w:w="150"/>
              <w:bottom w:type="dxa" w:w="100"/>
              <w:right w:type="dxa" w:w="150"/>
            </w:tcMar>
            <w:vAlign w:val="top"/>
          </w:tcPr>
          <w:p>
            <w:r>
              <w:rPr>
                <w:rFonts w:ascii="Arial" w:cs="Arial" w:eastAsia="Arial" w:hAnsi="Arial"/>
                <w:b/>
                <w:bCs/>
                <w:color w:val="1E3A5F"/>
                <w:sz w:val="22"/>
                <w:szCs w:val="22"/>
              </w:rPr>
              <w:t xml:space="preserve">Bima Sugam data storage</w:t>
            </w:r>
          </w:p>
        </w:tc>
        <w:tc>
          <w:tcPr>
            <w:tcW w:type="dxa" w:w="5860"/>
            <w:tcBorders>
              <w:top w:val="single" w:color="CCCCCC" w:sz="1"/>
              <w:left w:val="single" w:color="CCCCCC" w:sz="1"/>
              <w:bottom w:val="single" w:color="CCCCCC" w:sz="1"/>
              <w:right w:val="single" w:color="CCCCCC" w:sz="1"/>
            </w:tcBorders>
            <w:shd w:fill="F2F4F6" w:val="clear"/>
            <w:tcMar>
              <w:top w:type="dxa" w:w="100"/>
              <w:left w:type="dxa" w:w="150"/>
              <w:bottom w:type="dxa" w:w="100"/>
              <w:right w:type="dxa" w:w="150"/>
            </w:tcMar>
            <w:vAlign w:val="top"/>
          </w:tcPr>
          <w:p>
            <w:r>
              <w:rPr>
                <w:rFonts w:ascii="Arial" w:cs="Arial" w:eastAsia="Arial" w:hAnsi="Arial"/>
                <w:color w:val="1A1A2E"/>
                <w:sz w:val="22"/>
                <w:szCs w:val="22"/>
              </w:rPr>
              <w:t xml:space="preserve">Prohibited by regulation</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r>
              <w:rPr>
                <w:rFonts w:ascii="Arial" w:cs="Arial" w:eastAsia="Arial" w:hAnsi="Arial"/>
                <w:b/>
                <w:bCs/>
                <w:color w:val="1E3A5F"/>
                <w:sz w:val="22"/>
                <w:szCs w:val="22"/>
              </w:rPr>
              <w:t xml:space="preserve">Renewal commissions (broker)</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r>
              <w:rPr>
                <w:rFonts w:ascii="Arial" w:cs="Arial" w:eastAsia="Arial" w:hAnsi="Arial"/>
                <w:color w:val="1A1A2E"/>
                <w:sz w:val="22"/>
                <w:szCs w:val="22"/>
              </w:rPr>
              <w:t xml:space="preserve">12–18% first year, 5–7% renewal</w:t>
            </w:r>
          </w:p>
        </w:tc>
      </w:tr>
      <w:tr>
        <w:tc>
          <w:tcPr>
            <w:tcW w:type="dxa" w:w="3500"/>
            <w:tcBorders>
              <w:top w:val="single" w:color="CCCCCC" w:sz="1"/>
              <w:left w:val="single" w:color="CCCCCC" w:sz="1"/>
              <w:bottom w:val="single" w:color="CCCCCC" w:sz="1"/>
              <w:right w:val="single" w:color="CCCCCC" w:sz="1"/>
            </w:tcBorders>
            <w:shd w:fill="F2F4F6" w:val="clear"/>
            <w:tcMar>
              <w:top w:type="dxa" w:w="100"/>
              <w:left w:type="dxa" w:w="150"/>
              <w:bottom w:type="dxa" w:w="100"/>
              <w:right w:type="dxa" w:w="150"/>
            </w:tcMar>
            <w:vAlign w:val="top"/>
          </w:tcPr>
          <w:p>
            <w:r>
              <w:rPr>
                <w:rFonts w:ascii="Arial" w:cs="Arial" w:eastAsia="Arial" w:hAnsi="Arial"/>
                <w:b/>
                <w:bCs/>
                <w:color w:val="1E3A5F"/>
                <w:sz w:val="22"/>
                <w:szCs w:val="22"/>
              </w:rPr>
              <w:t xml:space="preserve">Target customer</w:t>
            </w:r>
          </w:p>
        </w:tc>
        <w:tc>
          <w:tcPr>
            <w:tcW w:type="dxa" w:w="5860"/>
            <w:tcBorders>
              <w:top w:val="single" w:color="CCCCCC" w:sz="1"/>
              <w:left w:val="single" w:color="CCCCCC" w:sz="1"/>
              <w:bottom w:val="single" w:color="CCCCCC" w:sz="1"/>
              <w:right w:val="single" w:color="CCCCCC" w:sz="1"/>
            </w:tcBorders>
            <w:shd w:fill="F2F4F6" w:val="clear"/>
            <w:tcMar>
              <w:top w:type="dxa" w:w="100"/>
              <w:left w:type="dxa" w:w="150"/>
              <w:bottom w:type="dxa" w:w="100"/>
              <w:right w:type="dxa" w:w="150"/>
            </w:tcMar>
            <w:vAlign w:val="top"/>
          </w:tcPr>
          <w:p>
            <w:r>
              <w:rPr>
                <w:rFonts w:ascii="Arial" w:cs="Arial" w:eastAsia="Arial" w:hAnsi="Arial"/>
                <w:color w:val="1A1A2E"/>
                <w:sz w:val="22"/>
                <w:szCs w:val="22"/>
              </w:rPr>
              <w:t xml:space="preserve">Urban dual-income family, ₹10–40L household income</w:t>
            </w:r>
          </w:p>
        </w:tc>
      </w:tr>
    </w:tbl>
    <w:p>
      <w:pPr>
        <w:spacing w:after="0" w:before="60"/>
      </w:pPr>
    </w:p>
    <w:p>
      <w:pPr>
        <w:pStyle w:val="Heading2"/>
        <w:spacing w:after="100" w:before="240"/>
      </w:pPr>
      <w:r>
        <w:rPr>
          <w:rFonts w:ascii="Arial" w:cs="Arial" w:eastAsia="Arial" w:hAnsi="Arial"/>
          <w:b/>
          <w:bCs/>
          <w:color w:val="2E86AB"/>
          <w:sz w:val="26"/>
          <w:szCs w:val="26"/>
        </w:rPr>
        <w:t xml:space="preserve">The Product</w:t>
      </w:r>
    </w:p>
    <w:p>
      <w:pPr>
        <w:spacing w:after="60" w:before="60"/>
      </w:pPr>
      <w:r>
        <w:rPr>
          <w:rFonts w:ascii="Arial" w:cs="Arial" w:eastAsia="Arial" w:hAnsi="Arial"/>
          <w:color w:val="1A1A2E"/>
          <w:sz w:val="22"/>
          <w:szCs w:val="22"/>
        </w:rPr>
        <w:t xml:space="preserve">A continuous 'CIBIL for insurance adequacy' — the Policy Health Score.</w:t>
      </w:r>
    </w:p>
    <w:p>
      <w:pPr>
        <w:spacing w:after="0" w:before="60"/>
      </w:pPr>
    </w:p>
    <w:p>
      <w:pPr>
        <w:pStyle w:val="ListParagraph"/>
        <w:numPr>
          <w:ilvl w:val="0"/>
          <w:numId w:val="2"/>
        </w:numPr>
        <w:spacing w:after="40" w:before="40"/>
      </w:pPr>
      <w:r>
        <w:rPr>
          <w:rFonts w:ascii="Arial" w:cs="Arial" w:eastAsia="Arial" w:hAnsi="Arial"/>
          <w:color w:val="1A1A2E"/>
          <w:sz w:val="22"/>
          <w:szCs w:val="22"/>
        </w:rPr>
        <w:t xml:space="preserve">Users link all family policies (health, life, auto, term) to SurakshaSaathi — manually upload, or pull via Bima Sugam APIs once available.</w:t>
      </w:r>
    </w:p>
    <w:p>
      <w:pPr>
        <w:pStyle w:val="ListParagraph"/>
        <w:numPr>
          <w:ilvl w:val="0"/>
          <w:numId w:val="2"/>
        </w:numPr>
        <w:spacing w:after="40" w:before="40"/>
      </w:pPr>
      <w:r>
        <w:rPr>
          <w:rFonts w:ascii="Arial" w:cs="Arial" w:eastAsia="Arial" w:hAnsi="Arial"/>
          <w:color w:val="1A1A2E"/>
          <w:sz w:val="22"/>
          <w:szCs w:val="22"/>
        </w:rPr>
        <w:t xml:space="preserve">The system computes a Policy Health Score (0–100) across five dimensions: coverage adequacy, redundancy/overlap, nominee accuracy, renewal risk, and gap alerts.</w:t>
      </w:r>
    </w:p>
    <w:p>
      <w:pPr>
        <w:pStyle w:val="ListParagraph"/>
        <w:numPr>
          <w:ilvl w:val="0"/>
          <w:numId w:val="2"/>
        </w:numPr>
        <w:spacing w:after="40" w:before="40"/>
      </w:pPr>
      <w:r>
        <w:rPr>
          <w:rFonts w:ascii="Arial" w:cs="Arial" w:eastAsia="Arial" w:hAnsi="Arial"/>
          <w:color w:val="1A1A2E"/>
          <w:sz w:val="22"/>
          <w:szCs w:val="22"/>
        </w:rPr>
        <w:t xml:space="preserve">Score is recalculated on life triggers: add a family member, declare income change, receive a diagnosis, buy property, change job.</w:t>
      </w:r>
    </w:p>
    <w:p>
      <w:pPr>
        <w:pStyle w:val="ListParagraph"/>
        <w:numPr>
          <w:ilvl w:val="0"/>
          <w:numId w:val="2"/>
        </w:numPr>
        <w:spacing w:after="40" w:before="40"/>
      </w:pPr>
      <w:r>
        <w:rPr>
          <w:rFonts w:ascii="Arial" w:cs="Arial" w:eastAsia="Arial" w:hAnsi="Arial"/>
          <w:color w:val="1A1A2E"/>
          <w:sz w:val="22"/>
          <w:szCs w:val="22"/>
        </w:rPr>
        <w:t xml:space="preserve">Gap alerts are actionable: 'Your father is 72 and not on your floater. He now qualifies for PM-JAY automatically — here's how to add him.'</w:t>
      </w:r>
    </w:p>
    <w:p>
      <w:pPr>
        <w:pStyle w:val="ListParagraph"/>
        <w:numPr>
          <w:ilvl w:val="0"/>
          <w:numId w:val="2"/>
        </w:numPr>
        <w:spacing w:after="40" w:before="40"/>
      </w:pPr>
      <w:r>
        <w:rPr>
          <w:rFonts w:ascii="Arial" w:cs="Arial" w:eastAsia="Arial" w:hAnsi="Arial"/>
          <w:color w:val="1A1A2E"/>
          <w:sz w:val="22"/>
          <w:szCs w:val="22"/>
        </w:rPr>
        <w:t xml:space="preserve">Premium tier unlocks full advisory, claim support, and top-up policy recommendations (broker-assisted).</w:t>
      </w:r>
    </w:p>
    <w:p>
      <w:pPr>
        <w:spacing w:after="0" w:before="60"/>
      </w:pPr>
    </w:p>
    <w:p>
      <w:pPr>
        <w:spacing w:after="60" w:before="60"/>
      </w:pPr>
      <w:r>
        <w:rPr>
          <w:rFonts w:ascii="Arial" w:cs="Arial" w:eastAsia="Arial" w:hAnsi="Arial"/>
          <w:color w:val="1A1A2E"/>
          <w:sz w:val="22"/>
          <w:szCs w:val="22"/>
        </w:rPr>
        <w:t xml:space="preserve">The score is the hook. The renewal and gap-fill commissions are the revenue.</w:t>
      </w:r>
    </w:p>
    <w:p>
      <w:pPr>
        <w:spacing w:after="0" w:before="60"/>
      </w:pPr>
    </w:p>
    <w:p>
      <w:pPr>
        <w:pStyle w:val="Heading2"/>
        <w:spacing w:after="100" w:before="240"/>
      </w:pPr>
      <w:r>
        <w:rPr>
          <w:rFonts w:ascii="Arial" w:cs="Arial" w:eastAsia="Arial" w:hAnsi="Arial"/>
          <w:b/>
          <w:bCs/>
          <w:color w:val="2E86AB"/>
          <w:sz w:val="26"/>
          <w:szCs w:val="26"/>
        </w:rPr>
        <w:t xml:space="preserve">Revenue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F2F4F6" w:val="clear"/>
            <w:tcMar>
              <w:top w:type="dxa" w:w="100"/>
              <w:left w:type="dxa" w:w="150"/>
              <w:bottom w:type="dxa" w:w="100"/>
              <w:right w:type="dxa" w:w="150"/>
            </w:tcMar>
            <w:vAlign w:val="top"/>
          </w:tcPr>
          <w:p>
            <w:r>
              <w:rPr>
                <w:rFonts w:ascii="Arial" w:cs="Arial" w:eastAsia="Arial" w:hAnsi="Arial"/>
                <w:b/>
                <w:bCs/>
                <w:color w:val="1E3A5F"/>
                <w:sz w:val="22"/>
                <w:szCs w:val="22"/>
              </w:rPr>
              <w:t xml:space="preserve">Free tier</w:t>
            </w:r>
          </w:p>
        </w:tc>
        <w:tc>
          <w:tcPr>
            <w:tcW w:type="dxa" w:w="5860"/>
            <w:tcBorders>
              <w:top w:val="single" w:color="CCCCCC" w:sz="1"/>
              <w:left w:val="single" w:color="CCCCCC" w:sz="1"/>
              <w:bottom w:val="single" w:color="CCCCCC" w:sz="1"/>
              <w:right w:val="single" w:color="CCCCCC" w:sz="1"/>
            </w:tcBorders>
            <w:shd w:fill="F2F4F6" w:val="clear"/>
            <w:tcMar>
              <w:top w:type="dxa" w:w="100"/>
              <w:left w:type="dxa" w:w="150"/>
              <w:bottom w:type="dxa" w:w="100"/>
              <w:right w:type="dxa" w:w="150"/>
            </w:tcMar>
            <w:vAlign w:val="top"/>
          </w:tcPr>
          <w:p>
            <w:r>
              <w:rPr>
                <w:rFonts w:ascii="Arial" w:cs="Arial" w:eastAsia="Arial" w:hAnsi="Arial"/>
                <w:color w:val="1A1A2E"/>
                <w:sz w:val="22"/>
                <w:szCs w:val="22"/>
              </w:rPr>
              <w:t xml:space="preserve">Score computation, basic gap alerts</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r>
              <w:rPr>
                <w:rFonts w:ascii="Arial" w:cs="Arial" w:eastAsia="Arial" w:hAnsi="Arial"/>
                <w:b/>
                <w:bCs/>
                <w:color w:val="1E3A5F"/>
                <w:sz w:val="22"/>
                <w:szCs w:val="22"/>
              </w:rPr>
              <w:t xml:space="preserve">Premium subscription</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r>
              <w:rPr>
                <w:rFonts w:ascii="Arial" w:cs="Arial" w:eastAsia="Arial" w:hAnsi="Arial"/>
                <w:color w:val="1A1A2E"/>
                <w:sz w:val="22"/>
                <w:szCs w:val="22"/>
              </w:rPr>
              <w:t xml:space="preserve">₹299–799/year — full advisory, claim alerts, renewal management</w:t>
            </w:r>
          </w:p>
        </w:tc>
      </w:tr>
      <w:tr>
        <w:tc>
          <w:tcPr>
            <w:tcW w:type="dxa" w:w="3500"/>
            <w:tcBorders>
              <w:top w:val="single" w:color="CCCCCC" w:sz="1"/>
              <w:left w:val="single" w:color="CCCCCC" w:sz="1"/>
              <w:bottom w:val="single" w:color="CCCCCC" w:sz="1"/>
              <w:right w:val="single" w:color="CCCCCC" w:sz="1"/>
            </w:tcBorders>
            <w:shd w:fill="F2F4F6" w:val="clear"/>
            <w:tcMar>
              <w:top w:type="dxa" w:w="100"/>
              <w:left w:type="dxa" w:w="150"/>
              <w:bottom w:type="dxa" w:w="100"/>
              <w:right w:type="dxa" w:w="150"/>
            </w:tcMar>
            <w:vAlign w:val="top"/>
          </w:tcPr>
          <w:p>
            <w:r>
              <w:rPr>
                <w:rFonts w:ascii="Arial" w:cs="Arial" w:eastAsia="Arial" w:hAnsi="Arial"/>
                <w:b/>
                <w:bCs/>
                <w:color w:val="1E3A5F"/>
                <w:sz w:val="22"/>
                <w:szCs w:val="22"/>
              </w:rPr>
              <w:t xml:space="preserve">Renewal commission (broker)</w:t>
            </w:r>
          </w:p>
        </w:tc>
        <w:tc>
          <w:tcPr>
            <w:tcW w:type="dxa" w:w="5860"/>
            <w:tcBorders>
              <w:top w:val="single" w:color="CCCCCC" w:sz="1"/>
              <w:left w:val="single" w:color="CCCCCC" w:sz="1"/>
              <w:bottom w:val="single" w:color="CCCCCC" w:sz="1"/>
              <w:right w:val="single" w:color="CCCCCC" w:sz="1"/>
            </w:tcBorders>
            <w:shd w:fill="F2F4F6" w:val="clear"/>
            <w:tcMar>
              <w:top w:type="dxa" w:w="100"/>
              <w:left w:type="dxa" w:w="150"/>
              <w:bottom w:type="dxa" w:w="100"/>
              <w:right w:type="dxa" w:w="150"/>
            </w:tcMar>
            <w:vAlign w:val="top"/>
          </w:tcPr>
          <w:p>
            <w:r>
              <w:rPr>
                <w:rFonts w:ascii="Arial" w:cs="Arial" w:eastAsia="Arial" w:hAnsi="Arial"/>
                <w:color w:val="1A1A2E"/>
                <w:sz w:val="22"/>
                <w:szCs w:val="22"/>
              </w:rPr>
              <w:t xml:space="preserve">5–12% on renewed/switched policies</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r>
              <w:rPr>
                <w:rFonts w:ascii="Arial" w:cs="Arial" w:eastAsia="Arial" w:hAnsi="Arial"/>
                <w:b/>
                <w:bCs/>
                <w:color w:val="1E3A5F"/>
                <w:sz w:val="22"/>
                <w:szCs w:val="22"/>
              </w:rPr>
              <w:t xml:space="preserve">Gap-fill policy commission</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r>
              <w:rPr>
                <w:rFonts w:ascii="Arial" w:cs="Arial" w:eastAsia="Arial" w:hAnsi="Arial"/>
                <w:color w:val="1A1A2E"/>
                <w:sz w:val="22"/>
                <w:szCs w:val="22"/>
              </w:rPr>
              <w:t xml:space="preserve">₹5,000–15,000 per policy placed</w:t>
            </w:r>
          </w:p>
        </w:tc>
      </w:tr>
      <w:tr>
        <w:tc>
          <w:tcPr>
            <w:tcW w:type="dxa" w:w="3500"/>
            <w:tcBorders>
              <w:top w:val="single" w:color="CCCCCC" w:sz="1"/>
              <w:left w:val="single" w:color="CCCCCC" w:sz="1"/>
              <w:bottom w:val="single" w:color="CCCCCC" w:sz="1"/>
              <w:right w:val="single" w:color="CCCCCC" w:sz="1"/>
            </w:tcBorders>
            <w:shd w:fill="F2F4F6" w:val="clear"/>
            <w:tcMar>
              <w:top w:type="dxa" w:w="100"/>
              <w:left w:type="dxa" w:w="150"/>
              <w:bottom w:type="dxa" w:w="100"/>
              <w:right w:type="dxa" w:w="150"/>
            </w:tcMar>
            <w:vAlign w:val="top"/>
          </w:tcPr>
          <w:p>
            <w:r>
              <w:rPr>
                <w:rFonts w:ascii="Arial" w:cs="Arial" w:eastAsia="Arial" w:hAnsi="Arial"/>
                <w:b/>
                <w:bCs/>
                <w:color w:val="1E3A5F"/>
                <w:sz w:val="22"/>
                <w:szCs w:val="22"/>
              </w:rPr>
              <w:t xml:space="preserve">White-label B2B (HR tools)</w:t>
            </w:r>
          </w:p>
        </w:tc>
        <w:tc>
          <w:tcPr>
            <w:tcW w:type="dxa" w:w="5860"/>
            <w:tcBorders>
              <w:top w:val="single" w:color="CCCCCC" w:sz="1"/>
              <w:left w:val="single" w:color="CCCCCC" w:sz="1"/>
              <w:bottom w:val="single" w:color="CCCCCC" w:sz="1"/>
              <w:right w:val="single" w:color="CCCCCC" w:sz="1"/>
            </w:tcBorders>
            <w:shd w:fill="F2F4F6" w:val="clear"/>
            <w:tcMar>
              <w:top w:type="dxa" w:w="100"/>
              <w:left w:type="dxa" w:w="150"/>
              <w:bottom w:type="dxa" w:w="100"/>
              <w:right w:type="dxa" w:w="150"/>
            </w:tcMar>
            <w:vAlign w:val="top"/>
          </w:tcPr>
          <w:p>
            <w:r>
              <w:rPr>
                <w:rFonts w:ascii="Arial" w:cs="Arial" w:eastAsia="Arial" w:hAnsi="Arial"/>
                <w:color w:val="1A1A2E"/>
                <w:sz w:val="22"/>
                <w:szCs w:val="22"/>
              </w:rPr>
              <w:t xml:space="preserve">₹500–1,500/employee/year SaaS</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r>
              <w:rPr>
                <w:rFonts w:ascii="Arial" w:cs="Arial" w:eastAsia="Arial" w:hAnsi="Arial"/>
                <w:b/>
                <w:bCs/>
                <w:color w:val="1E3A5F"/>
                <w:sz w:val="22"/>
                <w:szCs w:val="22"/>
              </w:rPr>
              <w:t xml:space="preserve">API to fintechs</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r>
              <w:rPr>
                <w:rFonts w:ascii="Arial" w:cs="Arial" w:eastAsia="Arial" w:hAnsi="Arial"/>
                <w:color w:val="1A1A2E"/>
                <w:sz w:val="22"/>
                <w:szCs w:val="22"/>
              </w:rPr>
              <w:t xml:space="preserve">₹2–5/API call for score data</w:t>
            </w:r>
          </w:p>
        </w:tc>
      </w:tr>
    </w:tbl>
    <w:p>
      <w:pPr>
        <w:spacing w:after="0" w:before="60"/>
      </w:pPr>
    </w:p>
    <w:p>
      <w:pPr>
        <w:pStyle w:val="Heading2"/>
        <w:spacing w:after="100" w:before="240"/>
      </w:pPr>
      <w:r>
        <w:rPr>
          <w:rFonts w:ascii="Arial" w:cs="Arial" w:eastAsia="Arial" w:hAnsi="Arial"/>
          <w:b/>
          <w:bCs/>
          <w:color w:val="2E86AB"/>
          <w:sz w:val="26"/>
          <w:szCs w:val="26"/>
        </w:rPr>
        <w:t xml:space="preserve">Competitive Moat</w:t>
      </w:r>
    </w:p>
    <w:p>
      <w:pPr>
        <w:pStyle w:val="ListParagraph"/>
        <w:numPr>
          <w:ilvl w:val="0"/>
          <w:numId w:val="2"/>
        </w:numPr>
        <w:spacing w:after="40" w:before="40"/>
      </w:pPr>
      <w:r>
        <w:rPr>
          <w:rFonts w:ascii="Arial" w:cs="Arial" w:eastAsia="Arial" w:hAnsi="Arial"/>
          <w:color w:val="1A1A2E"/>
          <w:sz w:val="22"/>
          <w:szCs w:val="22"/>
        </w:rPr>
        <w:t xml:space="preserve">Longitudinal data moat: every trigger event, every score change, every action taken builds a proprietary dataset of insurance lifecycle patterns. No aggregator has this.</w:t>
      </w:r>
    </w:p>
    <w:p>
      <w:pPr>
        <w:pStyle w:val="ListParagraph"/>
        <w:numPr>
          <w:ilvl w:val="0"/>
          <w:numId w:val="2"/>
        </w:numPr>
        <w:spacing w:after="40" w:before="40"/>
      </w:pPr>
      <w:r>
        <w:rPr>
          <w:rFonts w:ascii="Arial" w:cs="Arial" w:eastAsia="Arial" w:hAnsi="Arial"/>
          <w:color w:val="1A1A2E"/>
          <w:sz w:val="22"/>
          <w:szCs w:val="22"/>
        </w:rPr>
        <w:t xml:space="preserve">Bima Sugam cannot compete: they are a transactional marketplace by regulation, not a relationship product.</w:t>
      </w:r>
    </w:p>
    <w:p>
      <w:pPr>
        <w:pStyle w:val="ListParagraph"/>
        <w:numPr>
          <w:ilvl w:val="0"/>
          <w:numId w:val="2"/>
        </w:numPr>
        <w:spacing w:after="40" w:before="40"/>
      </w:pPr>
      <w:r>
        <w:rPr>
          <w:rFonts w:ascii="Arial" w:cs="Arial" w:eastAsia="Arial" w:hAnsi="Arial"/>
          <w:color w:val="1A1A2E"/>
          <w:sz w:val="22"/>
          <w:szCs w:val="22"/>
        </w:rPr>
        <w:t xml:space="preserve">Switching cost: once a family's entire portfolio is on the platform, moving is friction-heavy. Renewal reminders and auto-escalation create stickiness.</w:t>
      </w:r>
    </w:p>
    <w:p>
      <w:pPr>
        <w:spacing w:after="0" w:before="60"/>
      </w:pPr>
    </w:p>
    <w:p>
      <w:pPr>
        <w:pStyle w:val="Heading2"/>
        <w:spacing w:after="100" w:before="240"/>
      </w:pPr>
      <w:r>
        <w:rPr>
          <w:rFonts w:ascii="Arial" w:cs="Arial" w:eastAsia="Arial" w:hAnsi="Arial"/>
          <w:b/>
          <w:bCs/>
          <w:color w:val="2E86AB"/>
          <w:sz w:val="26"/>
          <w:szCs w:val="26"/>
        </w:rPr>
        <w:t xml:space="preserve">Risks &amp; Mitigations</w:t>
      </w:r>
    </w:p>
    <w:p>
      <w:pPr>
        <w:pStyle w:val="ListParagraph"/>
        <w:numPr>
          <w:ilvl w:val="0"/>
          <w:numId w:val="2"/>
        </w:numPr>
        <w:spacing w:after="40" w:before="40"/>
      </w:pPr>
      <w:r>
        <w:rPr>
          <w:rFonts w:ascii="Arial" w:cs="Arial" w:eastAsia="Arial" w:hAnsi="Arial"/>
          <w:color w:val="1A1A2E"/>
          <w:sz w:val="22"/>
          <w:szCs w:val="22"/>
        </w:rPr>
        <w:t xml:space="preserve">Adoption friction: getting people to upload all policies is hard. Mitigate with a 'scan your policy PDF' feature and eventual Bima Sugam API pull.</w:t>
      </w:r>
    </w:p>
    <w:p>
      <w:pPr>
        <w:pStyle w:val="ListParagraph"/>
        <w:numPr>
          <w:ilvl w:val="0"/>
          <w:numId w:val="2"/>
        </w:numPr>
        <w:spacing w:after="40" w:before="40"/>
      </w:pPr>
      <w:r>
        <w:rPr>
          <w:rFonts w:ascii="Arial" w:cs="Arial" w:eastAsia="Arial" w:hAnsi="Arial"/>
          <w:color w:val="1A1A2E"/>
          <w:sz w:val="22"/>
          <w:szCs w:val="22"/>
        </w:rPr>
        <w:t xml:space="preserve">Monetization patience: revenue comes from renewals and placements, not upfront fees. Needs 90–120 days to first meaningful revenue.</w:t>
      </w:r>
    </w:p>
    <w:p>
      <w:pPr>
        <w:pStyle w:val="ListParagraph"/>
        <w:numPr>
          <w:ilvl w:val="0"/>
          <w:numId w:val="2"/>
        </w:numPr>
        <w:spacing w:after="40" w:before="40"/>
      </w:pPr>
      <w:r>
        <w:rPr>
          <w:rFonts w:ascii="Arial" w:cs="Arial" w:eastAsia="Arial" w:hAnsi="Arial"/>
          <w:color w:val="1A1A2E"/>
          <w:sz w:val="22"/>
          <w:szCs w:val="22"/>
        </w:rPr>
        <w:t xml:space="preserve">Trust: users are sharing sensitive financial documents. Data security and DPDP Act compliance are non-negotiable from Day 1.</w:t>
      </w:r>
    </w:p>
    <w:p>
      <w:pPr>
        <w:spacing w:after="0" w:before="60"/>
      </w:pPr>
    </w:p>
    <w:p>
      <w:pPr>
        <w:pStyle w:val="Heading2"/>
        <w:spacing w:after="100" w:before="240"/>
      </w:pPr>
      <w:r>
        <w:rPr>
          <w:rFonts w:ascii="Arial" w:cs="Arial" w:eastAsia="Arial" w:hAnsi="Arial"/>
          <w:b/>
          <w:bCs/>
          <w:color w:val="2E86AB"/>
          <w:sz w:val="26"/>
          <w:szCs w:val="26"/>
        </w:rPr>
        <w:t xml:space="preserve">Key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F2F4F6" w:val="clear"/>
            <w:tcMar>
              <w:top w:type="dxa" w:w="100"/>
              <w:left w:type="dxa" w:w="150"/>
              <w:bottom w:type="dxa" w:w="100"/>
              <w:right w:type="dxa" w:w="150"/>
            </w:tcMar>
            <w:vAlign w:val="top"/>
          </w:tcPr>
          <w:p>
            <w:r>
              <w:rPr>
                <w:rFonts w:ascii="Arial" w:cs="Arial" w:eastAsia="Arial" w:hAnsi="Arial"/>
                <w:b/>
                <w:bCs/>
                <w:color w:val="1E3A5F"/>
                <w:sz w:val="22"/>
                <w:szCs w:val="22"/>
              </w:rPr>
              <w:t xml:space="preserve">Month 3 target</w:t>
            </w:r>
          </w:p>
        </w:tc>
        <w:tc>
          <w:tcPr>
            <w:tcW w:type="dxa" w:w="5860"/>
            <w:tcBorders>
              <w:top w:val="single" w:color="CCCCCC" w:sz="1"/>
              <w:left w:val="single" w:color="CCCCCC" w:sz="1"/>
              <w:bottom w:val="single" w:color="CCCCCC" w:sz="1"/>
              <w:right w:val="single" w:color="CCCCCC" w:sz="1"/>
            </w:tcBorders>
            <w:shd w:fill="F2F4F6" w:val="clear"/>
            <w:tcMar>
              <w:top w:type="dxa" w:w="100"/>
              <w:left w:type="dxa" w:w="150"/>
              <w:bottom w:type="dxa" w:w="100"/>
              <w:right w:type="dxa" w:w="150"/>
            </w:tcMar>
            <w:vAlign w:val="top"/>
          </w:tcPr>
          <w:p>
            <w:r>
              <w:rPr>
                <w:rFonts w:ascii="Arial" w:cs="Arial" w:eastAsia="Arial" w:hAnsi="Arial"/>
                <w:color w:val="1A1A2E"/>
                <w:sz w:val="22"/>
                <w:szCs w:val="22"/>
              </w:rPr>
              <w:t xml:space="preserve">1,000 registered families, 200 premium subscribers</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r>
              <w:rPr>
                <w:rFonts w:ascii="Arial" w:cs="Arial" w:eastAsia="Arial" w:hAnsi="Arial"/>
                <w:b/>
                <w:bCs/>
                <w:color w:val="1E3A5F"/>
                <w:sz w:val="22"/>
                <w:szCs w:val="22"/>
              </w:rPr>
              <w:t xml:space="preserve">Month 6 MRR target</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r>
              <w:rPr>
                <w:rFonts w:ascii="Arial" w:cs="Arial" w:eastAsia="Arial" w:hAnsi="Arial"/>
                <w:color w:val="1A1A2E"/>
                <w:sz w:val="22"/>
                <w:szCs w:val="22"/>
              </w:rPr>
              <w:t xml:space="preserve">₹8L (subscriptions + 10 policy placements/month)</w:t>
            </w:r>
          </w:p>
        </w:tc>
      </w:tr>
      <w:tr>
        <w:tc>
          <w:tcPr>
            <w:tcW w:type="dxa" w:w="3500"/>
            <w:tcBorders>
              <w:top w:val="single" w:color="CCCCCC" w:sz="1"/>
              <w:left w:val="single" w:color="CCCCCC" w:sz="1"/>
              <w:bottom w:val="single" w:color="CCCCCC" w:sz="1"/>
              <w:right w:val="single" w:color="CCCCCC" w:sz="1"/>
            </w:tcBorders>
            <w:shd w:fill="F2F4F6" w:val="clear"/>
            <w:tcMar>
              <w:top w:type="dxa" w:w="100"/>
              <w:left w:type="dxa" w:w="150"/>
              <w:bottom w:type="dxa" w:w="100"/>
              <w:right w:type="dxa" w:w="150"/>
            </w:tcMar>
            <w:vAlign w:val="top"/>
          </w:tcPr>
          <w:p>
            <w:r>
              <w:rPr>
                <w:rFonts w:ascii="Arial" w:cs="Arial" w:eastAsia="Arial" w:hAnsi="Arial"/>
                <w:b/>
                <w:bCs/>
                <w:color w:val="1E3A5F"/>
                <w:sz w:val="22"/>
                <w:szCs w:val="22"/>
              </w:rPr>
              <w:t xml:space="preserve">Month 12 MRR target</w:t>
            </w:r>
          </w:p>
        </w:tc>
        <w:tc>
          <w:tcPr>
            <w:tcW w:type="dxa" w:w="5860"/>
            <w:tcBorders>
              <w:top w:val="single" w:color="CCCCCC" w:sz="1"/>
              <w:left w:val="single" w:color="CCCCCC" w:sz="1"/>
              <w:bottom w:val="single" w:color="CCCCCC" w:sz="1"/>
              <w:right w:val="single" w:color="CCCCCC" w:sz="1"/>
            </w:tcBorders>
            <w:shd w:fill="F2F4F6" w:val="clear"/>
            <w:tcMar>
              <w:top w:type="dxa" w:w="100"/>
              <w:left w:type="dxa" w:w="150"/>
              <w:bottom w:type="dxa" w:w="100"/>
              <w:right w:type="dxa" w:w="150"/>
            </w:tcMar>
            <w:vAlign w:val="top"/>
          </w:tcPr>
          <w:p>
            <w:r>
              <w:rPr>
                <w:rFonts w:ascii="Arial" w:cs="Arial" w:eastAsia="Arial" w:hAnsi="Arial"/>
                <w:color w:val="1A1A2E"/>
                <w:sz w:val="22"/>
                <w:szCs w:val="22"/>
              </w:rPr>
              <w:t xml:space="preserve">₹25L (10,000 premium subscribers + B2B pilots)</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r>
              <w:rPr>
                <w:rFonts w:ascii="Arial" w:cs="Arial" w:eastAsia="Arial" w:hAnsi="Arial"/>
                <w:b/>
                <w:bCs/>
                <w:color w:val="1E3A5F"/>
                <w:sz w:val="22"/>
                <w:szCs w:val="22"/>
              </w:rPr>
              <w:t xml:space="preserve">North Star metric</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r>
              <w:rPr>
                <w:rFonts w:ascii="Arial" w:cs="Arial" w:eastAsia="Arial" w:hAnsi="Arial"/>
                <w:color w:val="1A1A2E"/>
                <w:sz w:val="22"/>
                <w:szCs w:val="22"/>
              </w:rPr>
              <w:t xml:space="preserve">Policies per family (target: 3+ per active household)</w:t>
            </w:r>
          </w:p>
        </w:tc>
      </w:tr>
    </w:tbl>
    <w:p>
      <w:pPr>
        <w:spacing w:after="0" w:before="60"/>
      </w:pPr>
    </w:p>
    <w:p>
      <w:pPr>
        <w:pStyle w:val="Heading2"/>
        <w:spacing w:after="100" w:before="240"/>
      </w:pPr>
      <w:r>
        <w:rPr>
          <w:rFonts w:ascii="Arial" w:cs="Arial" w:eastAsia="Arial" w:hAnsi="Arial"/>
          <w:b/>
          <w:bCs/>
          <w:color w:val="2E86AB"/>
          <w:sz w:val="26"/>
          <w:szCs w:val="26"/>
        </w:rPr>
        <w:t xml:space="preserve">First 90 Days</w:t>
      </w:r>
    </w:p>
    <w:p>
      <w:pPr>
        <w:pStyle w:val="ListParagraph"/>
        <w:numPr>
          <w:ilvl w:val="0"/>
          <w:numId w:val="2"/>
        </w:numPr>
        <w:spacing w:after="40" w:before="40"/>
      </w:pPr>
      <w:r>
        <w:rPr>
          <w:rFonts w:ascii="Arial" w:cs="Arial" w:eastAsia="Arial" w:hAnsi="Arial"/>
          <w:color w:val="1A1A2E"/>
          <w:sz w:val="22"/>
          <w:szCs w:val="22"/>
        </w:rPr>
        <w:t xml:space="preserve">Days 1–30: build manual MVP. Spreadsheet-based score for 50 beta users from network. Score formula + gap logic. User interviews to validate what triggers action.</w:t>
      </w:r>
    </w:p>
    <w:p>
      <w:pPr>
        <w:pStyle w:val="ListParagraph"/>
        <w:numPr>
          <w:ilvl w:val="0"/>
          <w:numId w:val="2"/>
        </w:numPr>
        <w:spacing w:after="40" w:before="40"/>
      </w:pPr>
      <w:r>
        <w:rPr>
          <w:rFonts w:ascii="Arial" w:cs="Arial" w:eastAsia="Arial" w:hAnsi="Arial"/>
          <w:color w:val="1A1A2E"/>
          <w:sz w:val="22"/>
          <w:szCs w:val="22"/>
        </w:rPr>
        <w:t xml:space="preserve">Days 31–60: lightweight web app. Policy upload + score card. Free. Get 500 users.</w:t>
      </w:r>
    </w:p>
    <w:p>
      <w:pPr>
        <w:pStyle w:val="ListParagraph"/>
        <w:numPr>
          <w:ilvl w:val="0"/>
          <w:numId w:val="2"/>
        </w:numPr>
        <w:spacing w:after="40" w:before="40"/>
      </w:pPr>
      <w:r>
        <w:rPr>
          <w:rFonts w:ascii="Arial" w:cs="Arial" w:eastAsia="Arial" w:hAnsi="Arial"/>
          <w:color w:val="1A1A2E"/>
          <w:sz w:val="22"/>
          <w:szCs w:val="22"/>
        </w:rPr>
        <w:t xml:space="preserve">Days 61–90: launch premium. First broker license. Place first 10 gap-fill policies.</w:t>
      </w:r>
    </w:p>
    <w:p>
      <w:pPr>
        <w:pBdr>
          <w:bottom w:val="single" w:color="2E86AB" w:sz="4" w:space="1"/>
        </w:pBdr>
        <w:spacing w:after="120" w:before="120"/>
      </w:pPr>
    </w:p>
    <w:p>
      <w:r>
        <w:br w:type="page"/>
      </w:r>
    </w:p>
    <w:p>
      <w:pPr>
        <w:spacing w:after="120" w:before="0"/>
      </w:pPr>
      <w:r>
        <w:rPr>
          <w:rFonts w:ascii="Arial" w:cs="Arial" w:eastAsia="Arial" w:hAnsi="Arial"/>
          <w:b/>
          <w:bCs/>
          <w:color w:val="2E86AB"/>
          <w:sz w:val="36"/>
          <w:szCs w:val="36"/>
        </w:rPr>
        <w:t xml:space="preserve">Idea 3  </w:t>
      </w:r>
      <w:r>
        <w:rPr>
          <w:rFonts w:ascii="Arial" w:cs="Arial" w:eastAsia="Arial" w:hAnsi="Arial"/>
          <w:b/>
          <w:bCs/>
          <w:color w:val="1E3A5F"/>
          <w:sz w:val="36"/>
          <w:szCs w:val="36"/>
        </w:rPr>
        <w:t xml:space="preserve">Government Scheme Navigator</w:t>
      </w:r>
    </w:p>
    <w:p>
      <w:pPr>
        <w:spacing w:after="240" w:before="0"/>
      </w:pPr>
      <w:r>
        <w:rPr>
          <w:rFonts w:ascii="Arial" w:cs="Arial" w:eastAsia="Arial" w:hAnsi="Arial"/>
          <w:i/>
          <w:iCs/>
          <w:color w:val="555555"/>
          <w:sz w:val="24"/>
          <w:szCs w:val="24"/>
        </w:rPr>
        <w:t xml:space="preserve">"The government built the safety net. Nobody built the door."</w:t>
      </w:r>
    </w:p>
    <w:p>
      <w:pPr>
        <w:pStyle w:val="Heading2"/>
        <w:spacing w:after="100" w:before="240"/>
      </w:pPr>
      <w:r>
        <w:rPr>
          <w:rFonts w:ascii="Arial" w:cs="Arial" w:eastAsia="Arial" w:hAnsi="Arial"/>
          <w:b/>
          <w:bCs/>
          <w:color w:val="2E86AB"/>
          <w:sz w:val="26"/>
          <w:szCs w:val="26"/>
        </w:rPr>
        <w:t xml:space="preserve">The Problem</w:t>
      </w:r>
    </w:p>
    <w:p>
      <w:pPr>
        <w:spacing w:after="60" w:before="60"/>
      </w:pPr>
      <w:r>
        <w:rPr>
          <w:rFonts w:ascii="Arial" w:cs="Arial" w:eastAsia="Arial" w:hAnsi="Arial"/>
          <w:color w:val="1A1A2E"/>
          <w:sz w:val="22"/>
          <w:szCs w:val="22"/>
        </w:rPr>
        <w:t xml:space="preserve">India's government insurance ecosystem is genuinely impressive in coverage and funding. What is broken is last-mile delivery. The data:</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F2F4F6" w:val="clear"/>
            <w:tcMar>
              <w:top w:type="dxa" w:w="100"/>
              <w:left w:type="dxa" w:w="150"/>
              <w:bottom w:type="dxa" w:w="100"/>
              <w:right w:type="dxa" w:w="150"/>
            </w:tcMar>
            <w:vAlign w:val="top"/>
          </w:tcPr>
          <w:p>
            <w:r>
              <w:rPr>
                <w:rFonts w:ascii="Arial" w:cs="Arial" w:eastAsia="Arial" w:hAnsi="Arial"/>
                <w:b/>
                <w:bCs/>
                <w:color w:val="1E3A5F"/>
                <w:sz w:val="22"/>
                <w:szCs w:val="22"/>
              </w:rPr>
              <w:t xml:space="preserve">PM-JAY awareness among eligible families</w:t>
            </w:r>
          </w:p>
        </w:tc>
        <w:tc>
          <w:tcPr>
            <w:tcW w:type="dxa" w:w="5860"/>
            <w:tcBorders>
              <w:top w:val="single" w:color="CCCCCC" w:sz="1"/>
              <w:left w:val="single" w:color="CCCCCC" w:sz="1"/>
              <w:bottom w:val="single" w:color="CCCCCC" w:sz="1"/>
              <w:right w:val="single" w:color="CCCCCC" w:sz="1"/>
            </w:tcBorders>
            <w:shd w:fill="F2F4F6" w:val="clear"/>
            <w:tcMar>
              <w:top w:type="dxa" w:w="100"/>
              <w:left w:type="dxa" w:w="150"/>
              <w:bottom w:type="dxa" w:w="100"/>
              <w:right w:type="dxa" w:w="150"/>
            </w:tcMar>
            <w:vAlign w:val="top"/>
          </w:tcPr>
          <w:p>
            <w:r>
              <w:rPr>
                <w:rFonts w:ascii="Arial" w:cs="Arial" w:eastAsia="Arial" w:hAnsi="Arial"/>
                <w:color w:val="1A1A2E"/>
                <w:sz w:val="22"/>
                <w:szCs w:val="22"/>
              </w:rPr>
              <w:t xml:space="preserve">~70% (national household survey)</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r>
              <w:rPr>
                <w:rFonts w:ascii="Arial" w:cs="Arial" w:eastAsia="Arial" w:hAnsi="Arial"/>
                <w:b/>
                <w:bCs/>
                <w:color w:val="1E3A5F"/>
                <w:sz w:val="22"/>
                <w:szCs w:val="22"/>
              </w:rPr>
              <w:t xml:space="preserve">PM-JAY enrollment among aware families</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r>
              <w:rPr>
                <w:rFonts w:ascii="Arial" w:cs="Arial" w:eastAsia="Arial" w:hAnsi="Arial"/>
                <w:color w:val="1A1A2E"/>
                <w:sz w:val="22"/>
                <w:szCs w:val="22"/>
              </w:rPr>
              <w:t xml:space="preserve">Only 16%</w:t>
            </w:r>
          </w:p>
        </w:tc>
      </w:tr>
      <w:tr>
        <w:tc>
          <w:tcPr>
            <w:tcW w:type="dxa" w:w="3500"/>
            <w:tcBorders>
              <w:top w:val="single" w:color="CCCCCC" w:sz="1"/>
              <w:left w:val="single" w:color="CCCCCC" w:sz="1"/>
              <w:bottom w:val="single" w:color="CCCCCC" w:sz="1"/>
              <w:right w:val="single" w:color="CCCCCC" w:sz="1"/>
            </w:tcBorders>
            <w:shd w:fill="F2F4F6" w:val="clear"/>
            <w:tcMar>
              <w:top w:type="dxa" w:w="100"/>
              <w:left w:type="dxa" w:w="150"/>
              <w:bottom w:type="dxa" w:w="100"/>
              <w:right w:type="dxa" w:w="150"/>
            </w:tcMar>
            <w:vAlign w:val="top"/>
          </w:tcPr>
          <w:p>
            <w:r>
              <w:rPr>
                <w:rFonts w:ascii="Arial" w:cs="Arial" w:eastAsia="Arial" w:hAnsi="Arial"/>
                <w:b/>
                <w:bCs/>
                <w:color w:val="1E3A5F"/>
                <w:sz w:val="22"/>
                <w:szCs w:val="22"/>
              </w:rPr>
              <w:t xml:space="preserve">Unclaimed insurance money (IRDAI)</w:t>
            </w:r>
          </w:p>
        </w:tc>
        <w:tc>
          <w:tcPr>
            <w:tcW w:type="dxa" w:w="5860"/>
            <w:tcBorders>
              <w:top w:val="single" w:color="CCCCCC" w:sz="1"/>
              <w:left w:val="single" w:color="CCCCCC" w:sz="1"/>
              <w:bottom w:val="single" w:color="CCCCCC" w:sz="1"/>
              <w:right w:val="single" w:color="CCCCCC" w:sz="1"/>
            </w:tcBorders>
            <w:shd w:fill="F2F4F6" w:val="clear"/>
            <w:tcMar>
              <w:top w:type="dxa" w:w="100"/>
              <w:left w:type="dxa" w:w="150"/>
              <w:bottom w:type="dxa" w:w="100"/>
              <w:right w:type="dxa" w:w="150"/>
            </w:tcMar>
            <w:vAlign w:val="top"/>
          </w:tcPr>
          <w:p>
            <w:r>
              <w:rPr>
                <w:rFonts w:ascii="Arial" w:cs="Arial" w:eastAsia="Arial" w:hAnsi="Arial"/>
                <w:color w:val="1A1A2E"/>
                <w:sz w:val="22"/>
                <w:szCs w:val="22"/>
              </w:rPr>
              <w:t xml:space="preserve">₹14,000 crore</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r>
              <w:rPr>
                <w:rFonts w:ascii="Arial" w:cs="Arial" w:eastAsia="Arial" w:hAnsi="Arial"/>
                <w:b/>
                <w:bCs/>
                <w:color w:val="1E3A5F"/>
                <w:sz w:val="22"/>
                <w:szCs w:val="22"/>
              </w:rPr>
              <w:t xml:space="preserve">Total unclaimed financial assets (all sectors)</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r>
              <w:rPr>
                <w:rFonts w:ascii="Arial" w:cs="Arial" w:eastAsia="Arial" w:hAnsi="Arial"/>
                <w:color w:val="1A1A2E"/>
                <w:sz w:val="22"/>
                <w:szCs w:val="22"/>
              </w:rPr>
              <w:t xml:space="preserve">₹1.04 lakh crore (govt estimate)</w:t>
            </w:r>
          </w:p>
        </w:tc>
      </w:tr>
      <w:tr>
        <w:tc>
          <w:tcPr>
            <w:tcW w:type="dxa" w:w="3500"/>
            <w:tcBorders>
              <w:top w:val="single" w:color="CCCCCC" w:sz="1"/>
              <w:left w:val="single" w:color="CCCCCC" w:sz="1"/>
              <w:bottom w:val="single" w:color="CCCCCC" w:sz="1"/>
              <w:right w:val="single" w:color="CCCCCC" w:sz="1"/>
            </w:tcBorders>
            <w:shd w:fill="F2F4F6" w:val="clear"/>
            <w:tcMar>
              <w:top w:type="dxa" w:w="100"/>
              <w:left w:type="dxa" w:w="150"/>
              <w:bottom w:type="dxa" w:w="100"/>
              <w:right w:type="dxa" w:w="150"/>
            </w:tcMar>
            <w:vAlign w:val="top"/>
          </w:tcPr>
          <w:p>
            <w:r>
              <w:rPr>
                <w:rFonts w:ascii="Arial" w:cs="Arial" w:eastAsia="Arial" w:hAnsi="Arial"/>
                <w:b/>
                <w:bCs/>
                <w:color w:val="1E3A5F"/>
                <w:sz w:val="22"/>
                <w:szCs w:val="22"/>
              </w:rPr>
              <w:t xml:space="preserve">Senior citizens auto-entitled to PM-JAY (Oct 2024)</w:t>
            </w:r>
          </w:p>
        </w:tc>
        <w:tc>
          <w:tcPr>
            <w:tcW w:type="dxa" w:w="5860"/>
            <w:tcBorders>
              <w:top w:val="single" w:color="CCCCCC" w:sz="1"/>
              <w:left w:val="single" w:color="CCCCCC" w:sz="1"/>
              <w:bottom w:val="single" w:color="CCCCCC" w:sz="1"/>
              <w:right w:val="single" w:color="CCCCCC" w:sz="1"/>
            </w:tcBorders>
            <w:shd w:fill="F2F4F6" w:val="clear"/>
            <w:tcMar>
              <w:top w:type="dxa" w:w="100"/>
              <w:left w:type="dxa" w:w="150"/>
              <w:bottom w:type="dxa" w:w="100"/>
              <w:right w:type="dxa" w:w="150"/>
            </w:tcMar>
            <w:vAlign w:val="top"/>
          </w:tcPr>
          <w:p>
            <w:r>
              <w:rPr>
                <w:rFonts w:ascii="Arial" w:cs="Arial" w:eastAsia="Arial" w:hAnsi="Arial"/>
                <w:color w:val="1A1A2E"/>
                <w:sz w:val="22"/>
                <w:szCs w:val="22"/>
              </w:rPr>
              <w:t xml:space="preserve">All Indians 70+ regardless of income</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r>
              <w:rPr>
                <w:rFonts w:ascii="Arial" w:cs="Arial" w:eastAsia="Arial" w:hAnsi="Arial"/>
                <w:b/>
                <w:bCs/>
                <w:color w:val="1E3A5F"/>
                <w:sz w:val="22"/>
                <w:szCs w:val="22"/>
              </w:rPr>
              <w:t xml:space="preserve">PMSBY — annual premium for ₹2L cover</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r>
              <w:rPr>
                <w:rFonts w:ascii="Arial" w:cs="Arial" w:eastAsia="Arial" w:hAnsi="Arial"/>
                <w:color w:val="1A1A2E"/>
                <w:sz w:val="22"/>
                <w:szCs w:val="22"/>
              </w:rPr>
              <w:t xml:space="preserve">₹20</w:t>
            </w:r>
          </w:p>
        </w:tc>
      </w:tr>
      <w:tr>
        <w:tc>
          <w:tcPr>
            <w:tcW w:type="dxa" w:w="3500"/>
            <w:tcBorders>
              <w:top w:val="single" w:color="CCCCCC" w:sz="1"/>
              <w:left w:val="single" w:color="CCCCCC" w:sz="1"/>
              <w:bottom w:val="single" w:color="CCCCCC" w:sz="1"/>
              <w:right w:val="single" w:color="CCCCCC" w:sz="1"/>
            </w:tcBorders>
            <w:shd w:fill="F2F4F6" w:val="clear"/>
            <w:tcMar>
              <w:top w:type="dxa" w:w="100"/>
              <w:left w:type="dxa" w:w="150"/>
              <w:bottom w:type="dxa" w:w="100"/>
              <w:right w:type="dxa" w:w="150"/>
            </w:tcMar>
            <w:vAlign w:val="top"/>
          </w:tcPr>
          <w:p>
            <w:r>
              <w:rPr>
                <w:rFonts w:ascii="Arial" w:cs="Arial" w:eastAsia="Arial" w:hAnsi="Arial"/>
                <w:b/>
                <w:bCs/>
                <w:color w:val="1E3A5F"/>
                <w:sz w:val="22"/>
                <w:szCs w:val="22"/>
              </w:rPr>
              <w:t xml:space="preserve">PMJJBY — annual premium for ₹2L life cover</w:t>
            </w:r>
          </w:p>
        </w:tc>
        <w:tc>
          <w:tcPr>
            <w:tcW w:type="dxa" w:w="5860"/>
            <w:tcBorders>
              <w:top w:val="single" w:color="CCCCCC" w:sz="1"/>
              <w:left w:val="single" w:color="CCCCCC" w:sz="1"/>
              <w:bottom w:val="single" w:color="CCCCCC" w:sz="1"/>
              <w:right w:val="single" w:color="CCCCCC" w:sz="1"/>
            </w:tcBorders>
            <w:shd w:fill="F2F4F6" w:val="clear"/>
            <w:tcMar>
              <w:top w:type="dxa" w:w="100"/>
              <w:left w:type="dxa" w:w="150"/>
              <w:bottom w:type="dxa" w:w="100"/>
              <w:right w:type="dxa" w:w="150"/>
            </w:tcMar>
            <w:vAlign w:val="top"/>
          </w:tcPr>
          <w:p>
            <w:r>
              <w:rPr>
                <w:rFonts w:ascii="Arial" w:cs="Arial" w:eastAsia="Arial" w:hAnsi="Arial"/>
                <w:color w:val="1A1A2E"/>
                <w:sz w:val="22"/>
                <w:szCs w:val="22"/>
              </w:rPr>
              <w:t xml:space="preserve">₹436</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r>
              <w:rPr>
                <w:rFonts w:ascii="Arial" w:cs="Arial" w:eastAsia="Arial" w:hAnsi="Arial"/>
                <w:b/>
                <w:bCs/>
                <w:color w:val="1E3A5F"/>
                <w:sz w:val="22"/>
                <w:szCs w:val="22"/>
              </w:rPr>
              <w:t xml:space="preserve">PMSBY enrolled</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r>
              <w:rPr>
                <w:rFonts w:ascii="Arial" w:cs="Arial" w:eastAsia="Arial" w:hAnsi="Arial"/>
                <w:color w:val="1A1A2E"/>
                <w:sz w:val="22"/>
                <w:szCs w:val="22"/>
              </w:rPr>
              <w:t xml:space="preserve">47.59 crore; PMJJBY: 21.67 crore</w:t>
            </w:r>
          </w:p>
        </w:tc>
      </w:tr>
    </w:tbl>
    <w:p>
      <w:pPr>
        <w:spacing w:after="0" w:before="60"/>
      </w:pPr>
    </w:p>
    <w:p>
      <w:pPr>
        <w:spacing w:after="60" w:before="60"/>
      </w:pPr>
      <w:r>
        <w:rPr>
          <w:rFonts w:ascii="Arial" w:cs="Arial" w:eastAsia="Arial" w:hAnsi="Arial"/>
          <w:color w:val="1A1A2E"/>
          <w:sz w:val="22"/>
          <w:szCs w:val="22"/>
        </w:rPr>
        <w:t xml:space="preserve">The problem is not awareness — it's navigation. People have heard of Ayushman Bharat. They don't know if they qualify, how to get the card, which hospitals accept it, or what to do when a hospital refuses it. The government's Jan Suraksha portal and 14555 helpline exist but are not consumer-grade products.</w:t>
      </w:r>
    </w:p>
    <w:p>
      <w:pPr>
        <w:spacing w:after="0" w:before="60"/>
      </w:pPr>
    </w:p>
    <w:p>
      <w:pPr>
        <w:pStyle w:val="Heading2"/>
        <w:spacing w:after="100" w:before="240"/>
      </w:pPr>
      <w:r>
        <w:rPr>
          <w:rFonts w:ascii="Arial" w:cs="Arial" w:eastAsia="Arial" w:hAnsi="Arial"/>
          <w:b/>
          <w:bCs/>
          <w:color w:val="2E86AB"/>
          <w:sz w:val="26"/>
          <w:szCs w:val="26"/>
        </w:rPr>
        <w:t xml:space="preserve">The Product</w:t>
      </w:r>
    </w:p>
    <w:p>
      <w:pPr>
        <w:spacing w:after="80" w:before="160"/>
      </w:pPr>
      <w:r>
        <w:rPr>
          <w:rFonts w:ascii="Arial" w:cs="Arial" w:eastAsia="Arial" w:hAnsi="Arial"/>
          <w:b/>
          <w:bCs/>
          <w:color w:val="1E3A5F"/>
          <w:sz w:val="22"/>
          <w:szCs w:val="22"/>
        </w:rPr>
        <w:t xml:space="preserve">Function 1 — Eligibility Check (2 minutes)</w:t>
      </w:r>
    </w:p>
    <w:p>
      <w:pPr>
        <w:pStyle w:val="ListParagraph"/>
        <w:numPr>
          <w:ilvl w:val="0"/>
          <w:numId w:val="2"/>
        </w:numPr>
        <w:spacing w:after="40" w:before="40"/>
      </w:pPr>
      <w:r>
        <w:rPr>
          <w:rFonts w:ascii="Arial" w:cs="Arial" w:eastAsia="Arial" w:hAnsi="Arial"/>
          <w:color w:val="1A1A2E"/>
          <w:sz w:val="22"/>
          <w:szCs w:val="22"/>
        </w:rPr>
        <w:t xml:space="preserve">User inputs: state, household income, age, Aadhaar linkage, occupation category</w:t>
      </w:r>
    </w:p>
    <w:p>
      <w:pPr>
        <w:pStyle w:val="ListParagraph"/>
        <w:numPr>
          <w:ilvl w:val="0"/>
          <w:numId w:val="2"/>
        </w:numPr>
        <w:spacing w:after="40" w:before="40"/>
      </w:pPr>
      <w:r>
        <w:rPr>
          <w:rFonts w:ascii="Arial" w:cs="Arial" w:eastAsia="Arial" w:hAnsi="Arial"/>
          <w:color w:val="1A1A2E"/>
          <w:sz w:val="22"/>
          <w:szCs w:val="22"/>
        </w:rPr>
        <w:t xml:space="preserve">Output: full entitlement stack — central + state schemes, exact coverage amounts, what's covered vs. not, whether they already have an active card</w:t>
      </w:r>
    </w:p>
    <w:p>
      <w:pPr>
        <w:pStyle w:val="ListParagraph"/>
        <w:numPr>
          <w:ilvl w:val="0"/>
          <w:numId w:val="2"/>
        </w:numPr>
        <w:spacing w:after="40" w:before="40"/>
      </w:pPr>
      <w:r>
        <w:rPr>
          <w:rFonts w:ascii="Arial" w:cs="Arial" w:eastAsia="Arial" w:hAnsi="Arial"/>
          <w:color w:val="1A1A2E"/>
          <w:sz w:val="22"/>
          <w:szCs w:val="22"/>
        </w:rPr>
        <w:t xml:space="preserve">Language: Hindi, Kannada, Tamil, Telugu, Bengali from launch. English optional.</w:t>
      </w:r>
    </w:p>
    <w:p>
      <w:pPr>
        <w:spacing w:after="0" w:before="60"/>
      </w:pPr>
    </w:p>
    <w:p>
      <w:pPr>
        <w:spacing w:after="80" w:before="160"/>
      </w:pPr>
      <w:r>
        <w:rPr>
          <w:rFonts w:ascii="Arial" w:cs="Arial" w:eastAsia="Arial" w:hAnsi="Arial"/>
          <w:b/>
          <w:bCs/>
          <w:color w:val="1E3A5F"/>
          <w:sz w:val="22"/>
          <w:szCs w:val="22"/>
        </w:rPr>
        <w:t xml:space="preserve">Function 2 — Plain Language Explanation</w:t>
      </w:r>
    </w:p>
    <w:p>
      <w:pPr>
        <w:pStyle w:val="ListParagraph"/>
        <w:numPr>
          <w:ilvl w:val="0"/>
          <w:numId w:val="2"/>
        </w:numPr>
        <w:spacing w:after="40" w:before="40"/>
      </w:pPr>
      <w:r>
        <w:rPr>
          <w:rFonts w:ascii="Arial" w:cs="Arial" w:eastAsia="Arial" w:hAnsi="Arial"/>
          <w:color w:val="1A1A2E"/>
          <w:sz w:val="22"/>
          <w:szCs w:val="22"/>
        </w:rPr>
        <w:t xml:space="preserve">Every scheme translated into 'what this means when you go to hospital': which network hospitals in your city, pre-authorization process, document checklist, what the hospital will ask for at admission</w:t>
      </w:r>
    </w:p>
    <w:p>
      <w:pPr>
        <w:pStyle w:val="ListParagraph"/>
        <w:numPr>
          <w:ilvl w:val="0"/>
          <w:numId w:val="2"/>
        </w:numPr>
        <w:spacing w:after="40" w:before="40"/>
      </w:pPr>
      <w:r>
        <w:rPr>
          <w:rFonts w:ascii="Arial" w:cs="Arial" w:eastAsia="Arial" w:hAnsi="Arial"/>
          <w:color w:val="1A1A2E"/>
          <w:sz w:val="22"/>
          <w:szCs w:val="22"/>
        </w:rPr>
        <w:t xml:space="preserve">State-specific: Maharashtra's MJPJAY has different procedures than Tamil Nadu's CMCHIS — the platform handles all 20+ schemes</w:t>
      </w:r>
    </w:p>
    <w:p>
      <w:pPr>
        <w:spacing w:after="0" w:before="60"/>
      </w:pPr>
    </w:p>
    <w:p>
      <w:pPr>
        <w:spacing w:after="80" w:before="160"/>
      </w:pPr>
      <w:r>
        <w:rPr>
          <w:rFonts w:ascii="Arial" w:cs="Arial" w:eastAsia="Arial" w:hAnsi="Arial"/>
          <w:b/>
          <w:bCs/>
          <w:color w:val="1E3A5F"/>
          <w:sz w:val="22"/>
          <w:szCs w:val="22"/>
        </w:rPr>
        <w:t xml:space="preserve">Function 3 — Enrollment Walkthrough</w:t>
      </w:r>
    </w:p>
    <w:p>
      <w:pPr>
        <w:pStyle w:val="ListParagraph"/>
        <w:numPr>
          <w:ilvl w:val="0"/>
          <w:numId w:val="2"/>
        </w:numPr>
        <w:spacing w:after="40" w:before="40"/>
      </w:pPr>
      <w:r>
        <w:rPr>
          <w:rFonts w:ascii="Arial" w:cs="Arial" w:eastAsia="Arial" w:hAnsi="Arial"/>
          <w:color w:val="1A1A2E"/>
          <w:sz w:val="22"/>
          <w:szCs w:val="22"/>
        </w:rPr>
        <w:t xml:space="preserve">Step-by-step guide to Ayushman Card via CSC / bank branch / online portal mera.pmjay.gov.in</w:t>
      </w:r>
    </w:p>
    <w:p>
      <w:pPr>
        <w:pStyle w:val="ListParagraph"/>
        <w:numPr>
          <w:ilvl w:val="0"/>
          <w:numId w:val="2"/>
        </w:numPr>
        <w:spacing w:after="40" w:before="40"/>
      </w:pPr>
      <w:r>
        <w:rPr>
          <w:rFonts w:ascii="Arial" w:cs="Arial" w:eastAsia="Arial" w:hAnsi="Arial"/>
          <w:color w:val="1A1A2E"/>
          <w:sz w:val="22"/>
          <w:szCs w:val="22"/>
        </w:rPr>
        <w:t xml:space="preserve">PMSBY enrollment is a single bank form — automated form-fill and bank-submission guide</w:t>
      </w:r>
    </w:p>
    <w:p>
      <w:pPr>
        <w:pStyle w:val="ListParagraph"/>
        <w:numPr>
          <w:ilvl w:val="0"/>
          <w:numId w:val="2"/>
        </w:numPr>
        <w:spacing w:after="40" w:before="40"/>
      </w:pPr>
      <w:r>
        <w:rPr>
          <w:rFonts w:ascii="Arial" w:cs="Arial" w:eastAsia="Arial" w:hAnsi="Arial"/>
          <w:color w:val="1A1A2E"/>
          <w:sz w:val="22"/>
          <w:szCs w:val="22"/>
        </w:rPr>
        <w:t xml:space="preserve">Document kit: exactly what to bring, in what format, for each scheme</w:t>
      </w:r>
    </w:p>
    <w:p>
      <w:pPr>
        <w:spacing w:after="0" w:before="60"/>
      </w:pPr>
    </w:p>
    <w:p>
      <w:pPr>
        <w:spacing w:after="80" w:before="160"/>
      </w:pPr>
      <w:r>
        <w:rPr>
          <w:rFonts w:ascii="Arial" w:cs="Arial" w:eastAsia="Arial" w:hAnsi="Arial"/>
          <w:b/>
          <w:bCs/>
          <w:color w:val="1E3A5F"/>
          <w:sz w:val="22"/>
          <w:szCs w:val="22"/>
        </w:rPr>
        <w:t xml:space="preserve">Function 4 — Claim Support &amp; Unclaimed Recovery</w:t>
      </w:r>
    </w:p>
    <w:p>
      <w:pPr>
        <w:pStyle w:val="ListParagraph"/>
        <w:numPr>
          <w:ilvl w:val="0"/>
          <w:numId w:val="2"/>
        </w:numPr>
        <w:spacing w:after="40" w:before="40"/>
      </w:pPr>
      <w:r>
        <w:rPr>
          <w:rFonts w:ascii="Arial" w:cs="Arial" w:eastAsia="Arial" w:hAnsi="Arial"/>
          <w:color w:val="1A1A2E"/>
          <w:sz w:val="22"/>
          <w:szCs w:val="22"/>
        </w:rPr>
        <w:t xml:space="preserve">Hospital refuses to honor government scheme: escalation path with scripts and IRDAI contacts</w:t>
      </w:r>
    </w:p>
    <w:p>
      <w:pPr>
        <w:pStyle w:val="ListParagraph"/>
        <w:numPr>
          <w:ilvl w:val="0"/>
          <w:numId w:val="2"/>
        </w:numPr>
        <w:spacing w:after="40" w:before="40"/>
      </w:pPr>
      <w:r>
        <w:rPr>
          <w:rFonts w:ascii="Arial" w:cs="Arial" w:eastAsia="Arial" w:hAnsi="Arial"/>
          <w:color w:val="1A1A2E"/>
          <w:sz w:val="22"/>
          <w:szCs w:val="22"/>
        </w:rPr>
        <w:t xml:space="preserve">Deceased family member's PMJJBY claim never filed: nominee filing guide + success fee on recovery</w:t>
      </w:r>
    </w:p>
    <w:p>
      <w:pPr>
        <w:pStyle w:val="ListParagraph"/>
        <w:numPr>
          <w:ilvl w:val="0"/>
          <w:numId w:val="2"/>
        </w:numPr>
        <w:spacing w:after="40" w:before="40"/>
      </w:pPr>
      <w:r>
        <w:rPr>
          <w:rFonts w:ascii="Arial" w:cs="Arial" w:eastAsia="Arial" w:hAnsi="Arial"/>
          <w:color w:val="1A1A2E"/>
          <w:sz w:val="22"/>
          <w:szCs w:val="22"/>
        </w:rPr>
        <w:t xml:space="preserve">Lapsed PMSBY policies with unclaimed amounts: recovery navigation</w:t>
      </w:r>
    </w:p>
    <w:p>
      <w:pPr>
        <w:spacing w:after="0" w:before="60"/>
      </w:pPr>
    </w:p>
    <w:p>
      <w:pPr>
        <w:pStyle w:val="Heading2"/>
        <w:spacing w:after="100" w:before="240"/>
      </w:pPr>
      <w:r>
        <w:rPr>
          <w:rFonts w:ascii="Arial" w:cs="Arial" w:eastAsia="Arial" w:hAnsi="Arial"/>
          <w:b/>
          <w:bCs/>
          <w:color w:val="2E86AB"/>
          <w:sz w:val="26"/>
          <w:szCs w:val="26"/>
        </w:rPr>
        <w:t xml:space="preserve">Revenue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F2F4F6" w:val="clear"/>
            <w:tcMar>
              <w:top w:type="dxa" w:w="100"/>
              <w:left w:type="dxa" w:w="150"/>
              <w:bottom w:type="dxa" w:w="100"/>
              <w:right w:type="dxa" w:w="150"/>
            </w:tcMar>
            <w:vAlign w:val="top"/>
          </w:tcPr>
          <w:p>
            <w:r>
              <w:rPr>
                <w:rFonts w:ascii="Arial" w:cs="Arial" w:eastAsia="Arial" w:hAnsi="Arial"/>
                <w:b/>
                <w:bCs/>
                <w:color w:val="1E3A5F"/>
                <w:sz w:val="22"/>
                <w:szCs w:val="22"/>
              </w:rPr>
              <w:t xml:space="preserve">Unclaimed claim recovery</w:t>
            </w:r>
          </w:p>
        </w:tc>
        <w:tc>
          <w:tcPr>
            <w:tcW w:type="dxa" w:w="5860"/>
            <w:tcBorders>
              <w:top w:val="single" w:color="CCCCCC" w:sz="1"/>
              <w:left w:val="single" w:color="CCCCCC" w:sz="1"/>
              <w:bottom w:val="single" w:color="CCCCCC" w:sz="1"/>
              <w:right w:val="single" w:color="CCCCCC" w:sz="1"/>
            </w:tcBorders>
            <w:shd w:fill="F2F4F6" w:val="clear"/>
            <w:tcMar>
              <w:top w:type="dxa" w:w="100"/>
              <w:left w:type="dxa" w:w="150"/>
              <w:bottom w:type="dxa" w:w="100"/>
              <w:right w:type="dxa" w:w="150"/>
            </w:tcMar>
            <w:vAlign w:val="top"/>
          </w:tcPr>
          <w:p>
            <w:r>
              <w:rPr>
                <w:rFonts w:ascii="Arial" w:cs="Arial" w:eastAsia="Arial" w:hAnsi="Arial"/>
                <w:color w:val="1A1A2E"/>
                <w:sz w:val="22"/>
                <w:szCs w:val="22"/>
              </w:rPr>
              <w:t xml:space="preserve">10–15% success fee. Avg PMJJBY death claim ₹2L = ₹24K revenue/case</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r>
              <w:rPr>
                <w:rFonts w:ascii="Arial" w:cs="Arial" w:eastAsia="Arial" w:hAnsi="Arial"/>
                <w:b/>
                <w:bCs/>
                <w:color w:val="1E3A5F"/>
                <w:sz w:val="22"/>
                <w:szCs w:val="22"/>
              </w:rPr>
              <w:t xml:space="preserve">Assisted enrollment (premium)</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r>
              <w:rPr>
                <w:rFonts w:ascii="Arial" w:cs="Arial" w:eastAsia="Arial" w:hAnsi="Arial"/>
                <w:color w:val="1A1A2E"/>
                <w:sz w:val="22"/>
                <w:szCs w:val="22"/>
              </w:rPr>
              <w:t xml:space="preserve">₹199–499 flat fee. Volume play — target 10,000/month</w:t>
            </w:r>
          </w:p>
        </w:tc>
      </w:tr>
      <w:tr>
        <w:tc>
          <w:tcPr>
            <w:tcW w:type="dxa" w:w="3500"/>
            <w:tcBorders>
              <w:top w:val="single" w:color="CCCCCC" w:sz="1"/>
              <w:left w:val="single" w:color="CCCCCC" w:sz="1"/>
              <w:bottom w:val="single" w:color="CCCCCC" w:sz="1"/>
              <w:right w:val="single" w:color="CCCCCC" w:sz="1"/>
            </w:tcBorders>
            <w:shd w:fill="F2F4F6" w:val="clear"/>
            <w:tcMar>
              <w:top w:type="dxa" w:w="100"/>
              <w:left w:type="dxa" w:w="150"/>
              <w:bottom w:type="dxa" w:w="100"/>
              <w:right w:type="dxa" w:w="150"/>
            </w:tcMar>
            <w:vAlign w:val="top"/>
          </w:tcPr>
          <w:p>
            <w:r>
              <w:rPr>
                <w:rFonts w:ascii="Arial" w:cs="Arial" w:eastAsia="Arial" w:hAnsi="Arial"/>
                <w:b/>
                <w:bCs/>
                <w:color w:val="1E3A5F"/>
                <w:sz w:val="22"/>
                <w:szCs w:val="22"/>
              </w:rPr>
              <w:t xml:space="preserve">B2B: NGO / SHG / CSC operators</w:t>
            </w:r>
          </w:p>
        </w:tc>
        <w:tc>
          <w:tcPr>
            <w:tcW w:type="dxa" w:w="5860"/>
            <w:tcBorders>
              <w:top w:val="single" w:color="CCCCCC" w:sz="1"/>
              <w:left w:val="single" w:color="CCCCCC" w:sz="1"/>
              <w:bottom w:val="single" w:color="CCCCCC" w:sz="1"/>
              <w:right w:val="single" w:color="CCCCCC" w:sz="1"/>
            </w:tcBorders>
            <w:shd w:fill="F2F4F6" w:val="clear"/>
            <w:tcMar>
              <w:top w:type="dxa" w:w="100"/>
              <w:left w:type="dxa" w:w="150"/>
              <w:bottom w:type="dxa" w:w="100"/>
              <w:right w:type="dxa" w:w="150"/>
            </w:tcMar>
            <w:vAlign w:val="top"/>
          </w:tcPr>
          <w:p>
            <w:r>
              <w:rPr>
                <w:rFonts w:ascii="Arial" w:cs="Arial" w:eastAsia="Arial" w:hAnsi="Arial"/>
                <w:color w:val="1A1A2E"/>
                <w:sz w:val="22"/>
                <w:szCs w:val="22"/>
              </w:rPr>
              <w:t xml:space="preserve">₹5,000–20,000/month SaaS dashboard</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r>
              <w:rPr>
                <w:rFonts w:ascii="Arial" w:cs="Arial" w:eastAsia="Arial" w:hAnsi="Arial"/>
                <w:b/>
                <w:bCs/>
                <w:color w:val="1E3A5F"/>
                <w:sz w:val="22"/>
                <w:szCs w:val="22"/>
              </w:rPr>
              <w:t xml:space="preserve">B2B: Corporates (blue-collar workforce)</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r>
              <w:rPr>
                <w:rFonts w:ascii="Arial" w:cs="Arial" w:eastAsia="Arial" w:hAnsi="Arial"/>
                <w:color w:val="1A1A2E"/>
                <w:sz w:val="22"/>
                <w:szCs w:val="22"/>
              </w:rPr>
              <w:t xml:space="preserve">₹100–200/employee/year for government scheme compliance</w:t>
            </w:r>
          </w:p>
        </w:tc>
      </w:tr>
      <w:tr>
        <w:tc>
          <w:tcPr>
            <w:tcW w:type="dxa" w:w="3500"/>
            <w:tcBorders>
              <w:top w:val="single" w:color="CCCCCC" w:sz="1"/>
              <w:left w:val="single" w:color="CCCCCC" w:sz="1"/>
              <w:bottom w:val="single" w:color="CCCCCC" w:sz="1"/>
              <w:right w:val="single" w:color="CCCCCC" w:sz="1"/>
            </w:tcBorders>
            <w:shd w:fill="F2F4F6" w:val="clear"/>
            <w:tcMar>
              <w:top w:type="dxa" w:w="100"/>
              <w:left w:type="dxa" w:w="150"/>
              <w:bottom w:type="dxa" w:w="100"/>
              <w:right w:type="dxa" w:w="150"/>
            </w:tcMar>
            <w:vAlign w:val="top"/>
          </w:tcPr>
          <w:p>
            <w:r>
              <w:rPr>
                <w:rFonts w:ascii="Arial" w:cs="Arial" w:eastAsia="Arial" w:hAnsi="Arial"/>
                <w:b/>
                <w:bCs/>
                <w:color w:val="1E3A5F"/>
                <w:sz w:val="22"/>
                <w:szCs w:val="22"/>
              </w:rPr>
              <w:t xml:space="preserve">Top-up policy upsell</w:t>
            </w:r>
          </w:p>
        </w:tc>
        <w:tc>
          <w:tcPr>
            <w:tcW w:type="dxa" w:w="5860"/>
            <w:tcBorders>
              <w:top w:val="single" w:color="CCCCCC" w:sz="1"/>
              <w:left w:val="single" w:color="CCCCCC" w:sz="1"/>
              <w:bottom w:val="single" w:color="CCCCCC" w:sz="1"/>
              <w:right w:val="single" w:color="CCCCCC" w:sz="1"/>
            </w:tcBorders>
            <w:shd w:fill="F2F4F6" w:val="clear"/>
            <w:tcMar>
              <w:top w:type="dxa" w:w="100"/>
              <w:left w:type="dxa" w:w="150"/>
              <w:bottom w:type="dxa" w:w="100"/>
              <w:right w:type="dxa" w:w="150"/>
            </w:tcMar>
            <w:vAlign w:val="top"/>
          </w:tcPr>
          <w:p>
            <w:r>
              <w:rPr>
                <w:rFonts w:ascii="Arial" w:cs="Arial" w:eastAsia="Arial" w:hAnsi="Arial"/>
                <w:color w:val="1A1A2E"/>
                <w:sz w:val="22"/>
                <w:szCs w:val="22"/>
              </w:rPr>
              <w:t xml:space="preserve">Broker commission ₹3–8K after government scheme gap identified</w:t>
            </w:r>
          </w:p>
        </w:tc>
      </w:tr>
    </w:tbl>
    <w:p>
      <w:pPr>
        <w:spacing w:after="0" w:before="60"/>
      </w:pPr>
    </w:p>
    <w:p>
      <w:pPr>
        <w:spacing w:after="60" w:before="60"/>
      </w:pPr>
      <w:r>
        <w:rPr>
          <w:rFonts w:ascii="Arial" w:cs="Arial" w:eastAsia="Arial" w:hAnsi="Arial"/>
          <w:color w:val="1A1A2E"/>
          <w:sz w:val="22"/>
          <w:szCs w:val="22"/>
        </w:rPr>
        <w:t xml:space="preserve">Ethical design note: the eligibility check must always be free. Fees apply only to assisted enrollment (convenience, not entitlement) and claim recovery (success-fee, not upfront). The family in a Tier 3 town must never pay to learn their rights.</w:t>
      </w:r>
    </w:p>
    <w:p>
      <w:pPr>
        <w:spacing w:after="0" w:before="60"/>
      </w:pPr>
    </w:p>
    <w:p>
      <w:pPr>
        <w:pStyle w:val="Heading2"/>
        <w:spacing w:after="100" w:before="240"/>
      </w:pPr>
      <w:r>
        <w:rPr>
          <w:rFonts w:ascii="Arial" w:cs="Arial" w:eastAsia="Arial" w:hAnsi="Arial"/>
          <w:b/>
          <w:bCs/>
          <w:color w:val="2E86AB"/>
          <w:sz w:val="26"/>
          <w:szCs w:val="26"/>
        </w:rPr>
        <w:t xml:space="preserve">Competitive Moat</w:t>
      </w:r>
    </w:p>
    <w:p>
      <w:pPr>
        <w:pStyle w:val="ListParagraph"/>
        <w:numPr>
          <w:ilvl w:val="0"/>
          <w:numId w:val="2"/>
        </w:numPr>
        <w:spacing w:after="40" w:before="40"/>
      </w:pPr>
      <w:r>
        <w:rPr>
          <w:rFonts w:ascii="Arial" w:cs="Arial" w:eastAsia="Arial" w:hAnsi="Arial"/>
          <w:color w:val="1A1A2E"/>
          <w:sz w:val="22"/>
          <w:szCs w:val="22"/>
        </w:rPr>
        <w:t xml:space="preserve">Scheme database moat: real-time tracking of 20+ central + state scheme changes. This is operationally difficult — nobody has built it cleanly for consumers. A 12-month head start is defensible.</w:t>
      </w:r>
    </w:p>
    <w:p>
      <w:pPr>
        <w:pStyle w:val="ListParagraph"/>
        <w:numPr>
          <w:ilvl w:val="0"/>
          <w:numId w:val="2"/>
        </w:numPr>
        <w:spacing w:after="40" w:before="40"/>
      </w:pPr>
      <w:r>
        <w:rPr>
          <w:rFonts w:ascii="Arial" w:cs="Arial" w:eastAsia="Arial" w:hAnsi="Arial"/>
          <w:color w:val="1A1A2E"/>
          <w:sz w:val="22"/>
          <w:szCs w:val="22"/>
        </w:rPr>
        <w:t xml:space="preserve">Vernacular trust brand: 'SurakshaSaathi' in regional language contexts will be the default recommendation in WhatsApp family groups within 2 years if the product works.</w:t>
      </w:r>
    </w:p>
    <w:p>
      <w:pPr>
        <w:pStyle w:val="ListParagraph"/>
        <w:numPr>
          <w:ilvl w:val="0"/>
          <w:numId w:val="2"/>
        </w:numPr>
        <w:spacing w:after="40" w:before="40"/>
      </w:pPr>
      <w:r>
        <w:rPr>
          <w:rFonts w:ascii="Arial" w:cs="Arial" w:eastAsia="Arial" w:hAnsi="Arial"/>
          <w:color w:val="1A1A2E"/>
          <w:sz w:val="22"/>
          <w:szCs w:val="22"/>
        </w:rPr>
        <w:t xml:space="preserve">Government alignment: 'Your Money, Your Right' initiative validates this problem at the highest political level. Partnership with state health agencies is a real opportunity.</w:t>
      </w:r>
    </w:p>
    <w:p>
      <w:pPr>
        <w:spacing w:after="0" w:before="60"/>
      </w:pPr>
    </w:p>
    <w:p>
      <w:pPr>
        <w:pStyle w:val="Heading2"/>
        <w:spacing w:after="100" w:before="240"/>
      </w:pPr>
      <w:r>
        <w:rPr>
          <w:rFonts w:ascii="Arial" w:cs="Arial" w:eastAsia="Arial" w:hAnsi="Arial"/>
          <w:b/>
          <w:bCs/>
          <w:color w:val="2E86AB"/>
          <w:sz w:val="26"/>
          <w:szCs w:val="26"/>
        </w:rPr>
        <w:t xml:space="preserve">Risks &amp; Mitigations</w:t>
      </w:r>
    </w:p>
    <w:p>
      <w:pPr>
        <w:pStyle w:val="ListParagraph"/>
        <w:numPr>
          <w:ilvl w:val="0"/>
          <w:numId w:val="2"/>
        </w:numPr>
        <w:spacing w:after="40" w:before="40"/>
      </w:pPr>
      <w:r>
        <w:rPr>
          <w:rFonts w:ascii="Arial" w:cs="Arial" w:eastAsia="Arial" w:hAnsi="Arial"/>
          <w:color w:val="1A1A2E"/>
          <w:sz w:val="22"/>
          <w:szCs w:val="22"/>
        </w:rPr>
        <w:t xml:space="preserve">Scheme database maintenance is operationally heavy: state schemes change, eligibility shifts. Requires a dedicated content + policy team from Month 3.</w:t>
      </w:r>
    </w:p>
    <w:p>
      <w:pPr>
        <w:pStyle w:val="ListParagraph"/>
        <w:numPr>
          <w:ilvl w:val="0"/>
          <w:numId w:val="2"/>
        </w:numPr>
        <w:spacing w:after="40" w:before="40"/>
      </w:pPr>
      <w:r>
        <w:rPr>
          <w:rFonts w:ascii="Arial" w:cs="Arial" w:eastAsia="Arial" w:hAnsi="Arial"/>
          <w:color w:val="1A1A2E"/>
          <w:sz w:val="22"/>
          <w:szCs w:val="22"/>
        </w:rPr>
        <w:t xml:space="preserve">Monetizing vulnerable users requires ethical guardrails: the free eligibility check is non-negotiable. Revenue must come from adjacent services.</w:t>
      </w:r>
    </w:p>
    <w:p>
      <w:pPr>
        <w:pStyle w:val="ListParagraph"/>
        <w:numPr>
          <w:ilvl w:val="0"/>
          <w:numId w:val="2"/>
        </w:numPr>
        <w:spacing w:after="40" w:before="40"/>
      </w:pPr>
      <w:r>
        <w:rPr>
          <w:rFonts w:ascii="Arial" w:cs="Arial" w:eastAsia="Arial" w:hAnsi="Arial"/>
          <w:color w:val="1A1A2E"/>
          <w:sz w:val="22"/>
          <w:szCs w:val="22"/>
        </w:rPr>
        <w:t xml:space="preserve">Government can build this: they're trying (Jan Suraksha portal, ABDM). Near-term risk is low given execution pace, but a 3–5 year horizon risk exists.</w:t>
      </w:r>
    </w:p>
    <w:p>
      <w:pPr>
        <w:spacing w:after="0" w:before="60"/>
      </w:pPr>
    </w:p>
    <w:p>
      <w:pPr>
        <w:pStyle w:val="Heading2"/>
        <w:spacing w:after="100" w:before="240"/>
      </w:pPr>
      <w:r>
        <w:rPr>
          <w:rFonts w:ascii="Arial" w:cs="Arial" w:eastAsia="Arial" w:hAnsi="Arial"/>
          <w:b/>
          <w:bCs/>
          <w:color w:val="2E86AB"/>
          <w:sz w:val="26"/>
          <w:szCs w:val="26"/>
        </w:rPr>
        <w:t xml:space="preserve">Key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F2F4F6" w:val="clear"/>
            <w:tcMar>
              <w:top w:type="dxa" w:w="100"/>
              <w:left w:type="dxa" w:w="150"/>
              <w:bottom w:type="dxa" w:w="100"/>
              <w:right w:type="dxa" w:w="150"/>
            </w:tcMar>
            <w:vAlign w:val="top"/>
          </w:tcPr>
          <w:p>
            <w:r>
              <w:rPr>
                <w:rFonts w:ascii="Arial" w:cs="Arial" w:eastAsia="Arial" w:hAnsi="Arial"/>
                <w:b/>
                <w:bCs/>
                <w:color w:val="1E3A5F"/>
                <w:sz w:val="22"/>
                <w:szCs w:val="22"/>
              </w:rPr>
              <w:t xml:space="preserve">Month 1 target</w:t>
            </w:r>
          </w:p>
        </w:tc>
        <w:tc>
          <w:tcPr>
            <w:tcW w:type="dxa" w:w="5860"/>
            <w:tcBorders>
              <w:top w:val="single" w:color="CCCCCC" w:sz="1"/>
              <w:left w:val="single" w:color="CCCCCC" w:sz="1"/>
              <w:bottom w:val="single" w:color="CCCCCC" w:sz="1"/>
              <w:right w:val="single" w:color="CCCCCC" w:sz="1"/>
            </w:tcBorders>
            <w:shd w:fill="F2F4F6" w:val="clear"/>
            <w:tcMar>
              <w:top w:type="dxa" w:w="100"/>
              <w:left w:type="dxa" w:w="150"/>
              <w:bottom w:type="dxa" w:w="100"/>
              <w:right w:type="dxa" w:w="150"/>
            </w:tcMar>
            <w:vAlign w:val="top"/>
          </w:tcPr>
          <w:p>
            <w:r>
              <w:rPr>
                <w:rFonts w:ascii="Arial" w:cs="Arial" w:eastAsia="Arial" w:hAnsi="Arial"/>
                <w:color w:val="1A1A2E"/>
                <w:sz w:val="22"/>
                <w:szCs w:val="22"/>
              </w:rPr>
              <w:t xml:space="preserve">Complete scheme database for 5 states (MH, KA, TN, WB, UP)</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r>
              <w:rPr>
                <w:rFonts w:ascii="Arial" w:cs="Arial" w:eastAsia="Arial" w:hAnsi="Arial"/>
                <w:b/>
                <w:bCs/>
                <w:color w:val="1E3A5F"/>
                <w:sz w:val="22"/>
                <w:szCs w:val="22"/>
              </w:rPr>
              <w:t xml:space="preserve">Month 3 MRR target</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r>
              <w:rPr>
                <w:rFonts w:ascii="Arial" w:cs="Arial" w:eastAsia="Arial" w:hAnsi="Arial"/>
                <w:color w:val="1A1A2E"/>
                <w:sz w:val="22"/>
                <w:szCs w:val="22"/>
              </w:rPr>
              <w:t xml:space="preserve">₹3L (200 assisted enrollments + 10 unclaimed recoveries)</w:t>
            </w:r>
          </w:p>
        </w:tc>
      </w:tr>
      <w:tr>
        <w:tc>
          <w:tcPr>
            <w:tcW w:type="dxa" w:w="3500"/>
            <w:tcBorders>
              <w:top w:val="single" w:color="CCCCCC" w:sz="1"/>
              <w:left w:val="single" w:color="CCCCCC" w:sz="1"/>
              <w:bottom w:val="single" w:color="CCCCCC" w:sz="1"/>
              <w:right w:val="single" w:color="CCCCCC" w:sz="1"/>
            </w:tcBorders>
            <w:shd w:fill="F2F4F6" w:val="clear"/>
            <w:tcMar>
              <w:top w:type="dxa" w:w="100"/>
              <w:left w:type="dxa" w:w="150"/>
              <w:bottom w:type="dxa" w:w="100"/>
              <w:right w:type="dxa" w:w="150"/>
            </w:tcMar>
            <w:vAlign w:val="top"/>
          </w:tcPr>
          <w:p>
            <w:r>
              <w:rPr>
                <w:rFonts w:ascii="Arial" w:cs="Arial" w:eastAsia="Arial" w:hAnsi="Arial"/>
                <w:b/>
                <w:bCs/>
                <w:color w:val="1E3A5F"/>
                <w:sz w:val="22"/>
                <w:szCs w:val="22"/>
              </w:rPr>
              <w:t xml:space="preserve">Month 6 MRR target</w:t>
            </w:r>
          </w:p>
        </w:tc>
        <w:tc>
          <w:tcPr>
            <w:tcW w:type="dxa" w:w="5860"/>
            <w:tcBorders>
              <w:top w:val="single" w:color="CCCCCC" w:sz="1"/>
              <w:left w:val="single" w:color="CCCCCC" w:sz="1"/>
              <w:bottom w:val="single" w:color="CCCCCC" w:sz="1"/>
              <w:right w:val="single" w:color="CCCCCC" w:sz="1"/>
            </w:tcBorders>
            <w:shd w:fill="F2F4F6" w:val="clear"/>
            <w:tcMar>
              <w:top w:type="dxa" w:w="100"/>
              <w:left w:type="dxa" w:w="150"/>
              <w:bottom w:type="dxa" w:w="100"/>
              <w:right w:type="dxa" w:w="150"/>
            </w:tcMar>
            <w:vAlign w:val="top"/>
          </w:tcPr>
          <w:p>
            <w:r>
              <w:rPr>
                <w:rFonts w:ascii="Arial" w:cs="Arial" w:eastAsia="Arial" w:hAnsi="Arial"/>
                <w:color w:val="1A1A2E"/>
                <w:sz w:val="22"/>
                <w:szCs w:val="22"/>
              </w:rPr>
              <w:t xml:space="preserve">₹12L (volume + 2 NGO/CSC B2B contracts)</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r>
              <w:rPr>
                <w:rFonts w:ascii="Arial" w:cs="Arial" w:eastAsia="Arial" w:hAnsi="Arial"/>
                <w:b/>
                <w:bCs/>
                <w:color w:val="1E3A5F"/>
                <w:sz w:val="22"/>
                <w:szCs w:val="22"/>
              </w:rPr>
              <w:t xml:space="preserve">Month 12 target</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r>
              <w:rPr>
                <w:rFonts w:ascii="Arial" w:cs="Arial" w:eastAsia="Arial" w:hAnsi="Arial"/>
                <w:color w:val="1A1A2E"/>
                <w:sz w:val="22"/>
                <w:szCs w:val="22"/>
              </w:rPr>
              <w:t xml:space="preserve">₹30L MRR. 50,000 eligibility checks/month.</w:t>
            </w:r>
          </w:p>
        </w:tc>
      </w:tr>
      <w:tr>
        <w:tc>
          <w:tcPr>
            <w:tcW w:type="dxa" w:w="3500"/>
            <w:tcBorders>
              <w:top w:val="single" w:color="CCCCCC" w:sz="1"/>
              <w:left w:val="single" w:color="CCCCCC" w:sz="1"/>
              <w:bottom w:val="single" w:color="CCCCCC" w:sz="1"/>
              <w:right w:val="single" w:color="CCCCCC" w:sz="1"/>
            </w:tcBorders>
            <w:shd w:fill="F2F4F6" w:val="clear"/>
            <w:tcMar>
              <w:top w:type="dxa" w:w="100"/>
              <w:left w:type="dxa" w:w="150"/>
              <w:bottom w:type="dxa" w:w="100"/>
              <w:right w:type="dxa" w:w="150"/>
            </w:tcMar>
            <w:vAlign w:val="top"/>
          </w:tcPr>
          <w:p>
            <w:r>
              <w:rPr>
                <w:rFonts w:ascii="Arial" w:cs="Arial" w:eastAsia="Arial" w:hAnsi="Arial"/>
                <w:b/>
                <w:bCs/>
                <w:color w:val="1E3A5F"/>
                <w:sz w:val="22"/>
                <w:szCs w:val="22"/>
              </w:rPr>
              <w:t xml:space="preserve">North Star</w:t>
            </w:r>
          </w:p>
        </w:tc>
        <w:tc>
          <w:tcPr>
            <w:tcW w:type="dxa" w:w="5860"/>
            <w:tcBorders>
              <w:top w:val="single" w:color="CCCCCC" w:sz="1"/>
              <w:left w:val="single" w:color="CCCCCC" w:sz="1"/>
              <w:bottom w:val="single" w:color="CCCCCC" w:sz="1"/>
              <w:right w:val="single" w:color="CCCCCC" w:sz="1"/>
            </w:tcBorders>
            <w:shd w:fill="F2F4F6" w:val="clear"/>
            <w:tcMar>
              <w:top w:type="dxa" w:w="100"/>
              <w:left w:type="dxa" w:w="150"/>
              <w:bottom w:type="dxa" w:w="100"/>
              <w:right w:type="dxa" w:w="150"/>
            </w:tcMar>
            <w:vAlign w:val="top"/>
          </w:tcPr>
          <w:p>
            <w:r>
              <w:rPr>
                <w:rFonts w:ascii="Arial" w:cs="Arial" w:eastAsia="Arial" w:hAnsi="Arial"/>
                <w:color w:val="1A1A2E"/>
                <w:sz w:val="22"/>
                <w:szCs w:val="22"/>
              </w:rPr>
              <w:t xml:space="preserve">Families enrolled in a scheme they didn't know they had</w:t>
            </w:r>
          </w:p>
        </w:tc>
      </w:tr>
    </w:tbl>
    <w:p>
      <w:pPr>
        <w:spacing w:after="0" w:before="60"/>
      </w:pPr>
    </w:p>
    <w:p>
      <w:pPr>
        <w:pStyle w:val="Heading2"/>
        <w:spacing w:after="100" w:before="240"/>
      </w:pPr>
      <w:r>
        <w:rPr>
          <w:rFonts w:ascii="Arial" w:cs="Arial" w:eastAsia="Arial" w:hAnsi="Arial"/>
          <w:b/>
          <w:bCs/>
          <w:color w:val="2E86AB"/>
          <w:sz w:val="26"/>
          <w:szCs w:val="26"/>
        </w:rPr>
        <w:t xml:space="preserve">First 90 Days</w:t>
      </w:r>
    </w:p>
    <w:p>
      <w:pPr>
        <w:pStyle w:val="ListParagraph"/>
        <w:numPr>
          <w:ilvl w:val="0"/>
          <w:numId w:val="2"/>
        </w:numPr>
        <w:spacing w:after="40" w:before="40"/>
      </w:pPr>
      <w:r>
        <w:rPr>
          <w:rFonts w:ascii="Arial" w:cs="Arial" w:eastAsia="Arial" w:hAnsi="Arial"/>
          <w:color w:val="1A1A2E"/>
          <w:sz w:val="22"/>
          <w:szCs w:val="22"/>
        </w:rPr>
        <w:t xml:space="preserve">Days 1–30: Build scheme database for 3 states. Launch free eligibility checker. No monetization. Target 1,000 checks/week via WhatsApp groups.</w:t>
      </w:r>
    </w:p>
    <w:p>
      <w:pPr>
        <w:pStyle w:val="ListParagraph"/>
        <w:numPr>
          <w:ilvl w:val="0"/>
          <w:numId w:val="2"/>
        </w:numPr>
        <w:spacing w:after="40" w:before="40"/>
      </w:pPr>
      <w:r>
        <w:rPr>
          <w:rFonts w:ascii="Arial" w:cs="Arial" w:eastAsia="Arial" w:hAnsi="Arial"/>
          <w:color w:val="1A1A2E"/>
          <w:sz w:val="22"/>
          <w:szCs w:val="22"/>
        </w:rPr>
        <w:t xml:space="preserve">Days 31–60: Add enrollment walkthrough. Launch ₹299 assisted enrollment. Partner with 2 NGOs/SHGs for B2B pilot.</w:t>
      </w:r>
    </w:p>
    <w:p>
      <w:pPr>
        <w:pStyle w:val="ListParagraph"/>
        <w:numPr>
          <w:ilvl w:val="0"/>
          <w:numId w:val="2"/>
        </w:numPr>
        <w:spacing w:after="40" w:before="40"/>
      </w:pPr>
      <w:r>
        <w:rPr>
          <w:rFonts w:ascii="Arial" w:cs="Arial" w:eastAsia="Arial" w:hAnsi="Arial"/>
          <w:color w:val="1A1A2E"/>
          <w:sz w:val="22"/>
          <w:szCs w:val="22"/>
        </w:rPr>
        <w:t xml:space="preserve">Days 61–90: Launch unclaimed claim recovery track. First 10 PMJJBY cases filed. First B2B contract signed.</w:t>
      </w:r>
    </w:p>
    <w:p>
      <w:pPr>
        <w:pBdr>
          <w:bottom w:val="single" w:color="2E86AB" w:sz="4" w:space="1"/>
        </w:pBdr>
        <w:spacing w:after="120" w:before="120"/>
      </w:pPr>
    </w:p>
    <w:p>
      <w:r>
        <w:br w:type="page"/>
      </w:r>
    </w:p>
    <w:p>
      <w:pPr>
        <w:spacing w:after="120" w:before="0"/>
      </w:pPr>
      <w:r>
        <w:rPr>
          <w:rFonts w:ascii="Arial" w:cs="Arial" w:eastAsia="Arial" w:hAnsi="Arial"/>
          <w:b/>
          <w:bCs/>
          <w:color w:val="2E86AB"/>
          <w:sz w:val="36"/>
          <w:szCs w:val="36"/>
        </w:rPr>
        <w:t xml:space="preserve">Idea 4  </w:t>
      </w:r>
      <w:r>
        <w:rPr>
          <w:rFonts w:ascii="Arial" w:cs="Arial" w:eastAsia="Arial" w:hAnsi="Arial"/>
          <w:b/>
          <w:bCs/>
          <w:color w:val="1E3A5F"/>
          <w:sz w:val="36"/>
          <w:szCs w:val="36"/>
        </w:rPr>
        <w:t xml:space="preserve">Family Insurance OS</w:t>
      </w:r>
    </w:p>
    <w:p>
      <w:pPr>
        <w:spacing w:after="240" w:before="0"/>
      </w:pPr>
      <w:r>
        <w:rPr>
          <w:rFonts w:ascii="Arial" w:cs="Arial" w:eastAsia="Arial" w:hAnsi="Arial"/>
          <w:i/>
          <w:iCs/>
          <w:color w:val="555555"/>
          <w:sz w:val="24"/>
          <w:szCs w:val="24"/>
        </w:rPr>
        <w:t xml:space="preserve">"Your policies are scattered across 6 places. We build the single source of truth."</w:t>
      </w:r>
    </w:p>
    <w:p>
      <w:pPr>
        <w:pStyle w:val="Heading2"/>
        <w:spacing w:after="100" w:before="240"/>
      </w:pPr>
      <w:r>
        <w:rPr>
          <w:rFonts w:ascii="Arial" w:cs="Arial" w:eastAsia="Arial" w:hAnsi="Arial"/>
          <w:b/>
          <w:bCs/>
          <w:color w:val="2E86AB"/>
          <w:sz w:val="26"/>
          <w:szCs w:val="26"/>
        </w:rPr>
        <w:t xml:space="preserve">The Problem</w:t>
      </w:r>
    </w:p>
    <w:p>
      <w:pPr>
        <w:spacing w:after="60" w:before="60"/>
      </w:pPr>
      <w:r>
        <w:rPr>
          <w:rFonts w:ascii="Arial" w:cs="Arial" w:eastAsia="Arial" w:hAnsi="Arial"/>
          <w:color w:val="1A1A2E"/>
          <w:sz w:val="22"/>
          <w:szCs w:val="22"/>
        </w:rPr>
        <w:t xml:space="preserve">The average Indian middle-class family has 4–7 insurance policies across multiple insurers — a HDFC Life policy bought through an agent, a Star Health floater from an online aggregator, ICICI Lombard car insurance, a parent's LIC endowment, a PMJJBY enrollment through the bank. None of these talk to each other. There is no single view of the family's protection status.</w:t>
      </w:r>
    </w:p>
    <w:p>
      <w:pPr>
        <w:spacing w:after="0" w:before="60"/>
      </w:pPr>
    </w:p>
    <w:p>
      <w:pPr>
        <w:spacing w:after="60" w:before="60"/>
      </w:pPr>
      <w:r>
        <w:rPr>
          <w:rFonts w:ascii="Arial" w:cs="Arial" w:eastAsia="Arial" w:hAnsi="Arial"/>
          <w:color w:val="1A1A2E"/>
          <w:sz w:val="22"/>
          <w:szCs w:val="22"/>
        </w:rPr>
        <w:t xml:space="preserve">Bima Sugam will allow digital policy storage — but as a passive repository, not an active management layer. SurakshaSaathi as the 'active family insurance CFO' is structurally differentiated.</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F2F4F6" w:val="clear"/>
            <w:tcMar>
              <w:top w:type="dxa" w:w="100"/>
              <w:left w:type="dxa" w:w="150"/>
              <w:bottom w:type="dxa" w:w="100"/>
              <w:right w:type="dxa" w:w="150"/>
            </w:tcMar>
            <w:vAlign w:val="top"/>
          </w:tcPr>
          <w:p>
            <w:r>
              <w:rPr>
                <w:rFonts w:ascii="Arial" w:cs="Arial" w:eastAsia="Arial" w:hAnsi="Arial"/>
                <w:b/>
                <w:bCs/>
                <w:color w:val="1E3A5F"/>
                <w:sz w:val="22"/>
                <w:szCs w:val="22"/>
              </w:rPr>
              <w:t xml:space="preserve">Average policies per Indian family (estimated)</w:t>
            </w:r>
          </w:p>
        </w:tc>
        <w:tc>
          <w:tcPr>
            <w:tcW w:type="dxa" w:w="5860"/>
            <w:tcBorders>
              <w:top w:val="single" w:color="CCCCCC" w:sz="1"/>
              <w:left w:val="single" w:color="CCCCCC" w:sz="1"/>
              <w:bottom w:val="single" w:color="CCCCCC" w:sz="1"/>
              <w:right w:val="single" w:color="CCCCCC" w:sz="1"/>
            </w:tcBorders>
            <w:shd w:fill="F2F4F6" w:val="clear"/>
            <w:tcMar>
              <w:top w:type="dxa" w:w="100"/>
              <w:left w:type="dxa" w:w="150"/>
              <w:bottom w:type="dxa" w:w="100"/>
              <w:right w:type="dxa" w:w="150"/>
            </w:tcMar>
            <w:vAlign w:val="top"/>
          </w:tcPr>
          <w:p>
            <w:r>
              <w:rPr>
                <w:rFonts w:ascii="Arial" w:cs="Arial" w:eastAsia="Arial" w:hAnsi="Arial"/>
                <w:color w:val="1A1A2E"/>
                <w:sz w:val="22"/>
                <w:szCs w:val="22"/>
              </w:rPr>
              <w:t xml:space="preserve">3–6 across life, health, auto, term</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r>
              <w:rPr>
                <w:rFonts w:ascii="Arial" w:cs="Arial" w:eastAsia="Arial" w:hAnsi="Arial"/>
                <w:b/>
                <w:bCs/>
                <w:color w:val="1E3A5F"/>
                <w:sz w:val="22"/>
                <w:szCs w:val="22"/>
              </w:rPr>
              <w:t xml:space="preserve">Policies managed via single platform</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r>
              <w:rPr>
                <w:rFonts w:ascii="Arial" w:cs="Arial" w:eastAsia="Arial" w:hAnsi="Arial"/>
                <w:color w:val="1A1A2E"/>
                <w:sz w:val="22"/>
                <w:szCs w:val="22"/>
              </w:rPr>
              <w:t xml:space="preserve">Near zero (pre-Bima Sugam)</w:t>
            </w:r>
          </w:p>
        </w:tc>
      </w:tr>
      <w:tr>
        <w:tc>
          <w:tcPr>
            <w:tcW w:type="dxa" w:w="3500"/>
            <w:tcBorders>
              <w:top w:val="single" w:color="CCCCCC" w:sz="1"/>
              <w:left w:val="single" w:color="CCCCCC" w:sz="1"/>
              <w:bottom w:val="single" w:color="CCCCCC" w:sz="1"/>
              <w:right w:val="single" w:color="CCCCCC" w:sz="1"/>
            </w:tcBorders>
            <w:shd w:fill="F2F4F6" w:val="clear"/>
            <w:tcMar>
              <w:top w:type="dxa" w:w="100"/>
              <w:left w:type="dxa" w:w="150"/>
              <w:bottom w:type="dxa" w:w="100"/>
              <w:right w:type="dxa" w:w="150"/>
            </w:tcMar>
            <w:vAlign w:val="top"/>
          </w:tcPr>
          <w:p>
            <w:r>
              <w:rPr>
                <w:rFonts w:ascii="Arial" w:cs="Arial" w:eastAsia="Arial" w:hAnsi="Arial"/>
                <w:b/>
                <w:bCs/>
                <w:color w:val="1E3A5F"/>
                <w:sz w:val="22"/>
                <w:szCs w:val="22"/>
              </w:rPr>
              <w:t xml:space="preserve">Nominee update failures (est.)</w:t>
            </w:r>
          </w:p>
        </w:tc>
        <w:tc>
          <w:tcPr>
            <w:tcW w:type="dxa" w:w="5860"/>
            <w:tcBorders>
              <w:top w:val="single" w:color="CCCCCC" w:sz="1"/>
              <w:left w:val="single" w:color="CCCCCC" w:sz="1"/>
              <w:bottom w:val="single" w:color="CCCCCC" w:sz="1"/>
              <w:right w:val="single" w:color="CCCCCC" w:sz="1"/>
            </w:tcBorders>
            <w:shd w:fill="F2F4F6" w:val="clear"/>
            <w:tcMar>
              <w:top w:type="dxa" w:w="100"/>
              <w:left w:type="dxa" w:w="150"/>
              <w:bottom w:type="dxa" w:w="100"/>
              <w:right w:type="dxa" w:w="150"/>
            </w:tcMar>
            <w:vAlign w:val="top"/>
          </w:tcPr>
          <w:p>
            <w:r>
              <w:rPr>
                <w:rFonts w:ascii="Arial" w:cs="Arial" w:eastAsia="Arial" w:hAnsi="Arial"/>
                <w:color w:val="1A1A2E"/>
                <w:sz w:val="22"/>
                <w:szCs w:val="22"/>
              </w:rPr>
              <w:t xml:space="preserve">Major cause of death claim rejections</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r>
              <w:rPr>
                <w:rFonts w:ascii="Arial" w:cs="Arial" w:eastAsia="Arial" w:hAnsi="Arial"/>
                <w:b/>
                <w:bCs/>
                <w:color w:val="1E3A5F"/>
                <w:sz w:val="22"/>
                <w:szCs w:val="22"/>
              </w:rPr>
              <w:t xml:space="preserve">Policy lapses due to missed renewals</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r>
              <w:rPr>
                <w:rFonts w:ascii="Arial" w:cs="Arial" w:eastAsia="Arial" w:hAnsi="Arial"/>
                <w:color w:val="1A1A2E"/>
                <w:sz w:val="22"/>
                <w:szCs w:val="22"/>
              </w:rPr>
              <w:t xml:space="preserve">Widespread, untracked</w:t>
            </w:r>
          </w:p>
        </w:tc>
      </w:tr>
    </w:tbl>
    <w:p>
      <w:pPr>
        <w:spacing w:after="0" w:before="60"/>
      </w:pPr>
    </w:p>
    <w:p>
      <w:pPr>
        <w:pStyle w:val="Heading2"/>
        <w:spacing w:after="100" w:before="240"/>
      </w:pPr>
      <w:r>
        <w:rPr>
          <w:rFonts w:ascii="Arial" w:cs="Arial" w:eastAsia="Arial" w:hAnsi="Arial"/>
          <w:b/>
          <w:bCs/>
          <w:color w:val="2E86AB"/>
          <w:sz w:val="26"/>
          <w:szCs w:val="26"/>
        </w:rPr>
        <w:t xml:space="preserve">The Product</w:t>
      </w:r>
    </w:p>
    <w:p>
      <w:pPr>
        <w:pStyle w:val="ListParagraph"/>
        <w:numPr>
          <w:ilvl w:val="0"/>
          <w:numId w:val="2"/>
        </w:numPr>
        <w:spacing w:after="40" w:before="40"/>
      </w:pPr>
      <w:r>
        <w:rPr>
          <w:rFonts w:ascii="Arial" w:cs="Arial" w:eastAsia="Arial" w:hAnsi="Arial"/>
          <w:color w:val="1A1A2E"/>
          <w:sz w:val="22"/>
          <w:szCs w:val="22"/>
        </w:rPr>
        <w:t xml:space="preserve">Central dashboard: all family policies in one view — insurer, type, sum assured, premium due date, nominee name, claim settlement ratio of insurer</w:t>
      </w:r>
    </w:p>
    <w:p>
      <w:pPr>
        <w:pStyle w:val="ListParagraph"/>
        <w:numPr>
          <w:ilvl w:val="0"/>
          <w:numId w:val="2"/>
        </w:numPr>
        <w:spacing w:after="40" w:before="40"/>
      </w:pPr>
      <w:r>
        <w:rPr>
          <w:rFonts w:ascii="Arial" w:cs="Arial" w:eastAsia="Arial" w:hAnsi="Arial"/>
          <w:color w:val="1A1A2E"/>
          <w:sz w:val="22"/>
          <w:szCs w:val="22"/>
        </w:rPr>
        <w:t xml:space="preserve">Renewal calendar with auto-reminders: 60, 30, 7, 1 day alerts via WhatsApp and email</w:t>
      </w:r>
    </w:p>
    <w:p>
      <w:pPr>
        <w:pStyle w:val="ListParagraph"/>
        <w:numPr>
          <w:ilvl w:val="0"/>
          <w:numId w:val="2"/>
        </w:numPr>
        <w:spacing w:after="40" w:before="40"/>
      </w:pPr>
      <w:r>
        <w:rPr>
          <w:rFonts w:ascii="Arial" w:cs="Arial" w:eastAsia="Arial" w:hAnsi="Arial"/>
          <w:color w:val="1A1A2E"/>
          <w:sz w:val="22"/>
          <w:szCs w:val="22"/>
        </w:rPr>
        <w:t xml:space="preserve">Nominee audit: flags outdated nominees (common cause of death claim rejection), guides updates</w:t>
      </w:r>
    </w:p>
    <w:p>
      <w:pPr>
        <w:pStyle w:val="ListParagraph"/>
        <w:numPr>
          <w:ilvl w:val="0"/>
          <w:numId w:val="2"/>
        </w:numPr>
        <w:spacing w:after="40" w:before="40"/>
      </w:pPr>
      <w:r>
        <w:rPr>
          <w:rFonts w:ascii="Arial" w:cs="Arial" w:eastAsia="Arial" w:hAnsi="Arial"/>
          <w:color w:val="1A1A2E"/>
          <w:sz w:val="22"/>
          <w:szCs w:val="22"/>
        </w:rPr>
        <w:t xml:space="preserve">Coverage gap map: visual heat-map of family protection status — who is covered for what, where the holes are</w:t>
      </w:r>
    </w:p>
    <w:p>
      <w:pPr>
        <w:pStyle w:val="ListParagraph"/>
        <w:numPr>
          <w:ilvl w:val="0"/>
          <w:numId w:val="2"/>
        </w:numPr>
        <w:spacing w:after="40" w:before="40"/>
      </w:pPr>
      <w:r>
        <w:rPr>
          <w:rFonts w:ascii="Arial" w:cs="Arial" w:eastAsia="Arial" w:hAnsi="Arial"/>
          <w:color w:val="1A1A2E"/>
          <w:sz w:val="22"/>
          <w:szCs w:val="22"/>
        </w:rPr>
        <w:t xml:space="preserve">Policy vault: secure storage for all policy documents, accessible during hospitalization from any device</w:t>
      </w:r>
    </w:p>
    <w:p>
      <w:pPr>
        <w:pStyle w:val="ListParagraph"/>
        <w:numPr>
          <w:ilvl w:val="0"/>
          <w:numId w:val="2"/>
        </w:numPr>
        <w:spacing w:after="40" w:before="40"/>
      </w:pPr>
      <w:r>
        <w:rPr>
          <w:rFonts w:ascii="Arial" w:cs="Arial" w:eastAsia="Arial" w:hAnsi="Arial"/>
          <w:color w:val="1A1A2E"/>
          <w:sz w:val="22"/>
          <w:szCs w:val="22"/>
        </w:rPr>
        <w:t xml:space="preserve">Pull integration: Bima Sugam API pull once available; manual PDF upload as Day 1 fallback</w:t>
      </w:r>
    </w:p>
    <w:p>
      <w:pPr>
        <w:pStyle w:val="ListParagraph"/>
        <w:numPr>
          <w:ilvl w:val="0"/>
          <w:numId w:val="2"/>
        </w:numPr>
        <w:spacing w:after="40" w:before="40"/>
      </w:pPr>
      <w:r>
        <w:rPr>
          <w:rFonts w:ascii="Arial" w:cs="Arial" w:eastAsia="Arial" w:hAnsi="Arial"/>
          <w:color w:val="1A1A2E"/>
          <w:sz w:val="22"/>
          <w:szCs w:val="22"/>
        </w:rPr>
        <w:t xml:space="preserve">Free tier → paid tier: free gives the dashboard; paid (₹399/year) gives advisory, claim support, and broker-assisted gap fill</w:t>
      </w:r>
    </w:p>
    <w:p>
      <w:pPr>
        <w:spacing w:after="0" w:before="60"/>
      </w:pPr>
    </w:p>
    <w:p>
      <w:pPr>
        <w:pStyle w:val="Heading2"/>
        <w:spacing w:after="100" w:before="240"/>
      </w:pPr>
      <w:r>
        <w:rPr>
          <w:rFonts w:ascii="Arial" w:cs="Arial" w:eastAsia="Arial" w:hAnsi="Arial"/>
          <w:b/>
          <w:bCs/>
          <w:color w:val="2E86AB"/>
          <w:sz w:val="26"/>
          <w:szCs w:val="26"/>
        </w:rPr>
        <w:t xml:space="preserve">Revenue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F2F4F6" w:val="clear"/>
            <w:tcMar>
              <w:top w:type="dxa" w:w="100"/>
              <w:left w:type="dxa" w:w="150"/>
              <w:bottom w:type="dxa" w:w="100"/>
              <w:right w:type="dxa" w:w="150"/>
            </w:tcMar>
            <w:vAlign w:val="top"/>
          </w:tcPr>
          <w:p>
            <w:r>
              <w:rPr>
                <w:rFonts w:ascii="Arial" w:cs="Arial" w:eastAsia="Arial" w:hAnsi="Arial"/>
                <w:b/>
                <w:bCs/>
                <w:color w:val="1E3A5F"/>
                <w:sz w:val="22"/>
                <w:szCs w:val="22"/>
              </w:rPr>
              <w:t xml:space="preserve">Free tier</w:t>
            </w:r>
          </w:p>
        </w:tc>
        <w:tc>
          <w:tcPr>
            <w:tcW w:type="dxa" w:w="5860"/>
            <w:tcBorders>
              <w:top w:val="single" w:color="CCCCCC" w:sz="1"/>
              <w:left w:val="single" w:color="CCCCCC" w:sz="1"/>
              <w:bottom w:val="single" w:color="CCCCCC" w:sz="1"/>
              <w:right w:val="single" w:color="CCCCCC" w:sz="1"/>
            </w:tcBorders>
            <w:shd w:fill="F2F4F6" w:val="clear"/>
            <w:tcMar>
              <w:top w:type="dxa" w:w="100"/>
              <w:left w:type="dxa" w:w="150"/>
              <w:bottom w:type="dxa" w:w="100"/>
              <w:right w:type="dxa" w:w="150"/>
            </w:tcMar>
            <w:vAlign w:val="top"/>
          </w:tcPr>
          <w:p>
            <w:r>
              <w:rPr>
                <w:rFonts w:ascii="Arial" w:cs="Arial" w:eastAsia="Arial" w:hAnsi="Arial"/>
                <w:color w:val="1A1A2E"/>
                <w:sz w:val="22"/>
                <w:szCs w:val="22"/>
              </w:rPr>
              <w:t xml:space="preserve">Dashboard, vault, reminders — acquisition tool</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r>
              <w:rPr>
                <w:rFonts w:ascii="Arial" w:cs="Arial" w:eastAsia="Arial" w:hAnsi="Arial"/>
                <w:b/>
                <w:bCs/>
                <w:color w:val="1E3A5F"/>
                <w:sz w:val="22"/>
                <w:szCs w:val="22"/>
              </w:rPr>
              <w:t xml:space="preserve">Premium subscription</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r>
              <w:rPr>
                <w:rFonts w:ascii="Arial" w:cs="Arial" w:eastAsia="Arial" w:hAnsi="Arial"/>
                <w:color w:val="1A1A2E"/>
                <w:sz w:val="22"/>
                <w:szCs w:val="22"/>
              </w:rPr>
              <w:t xml:space="preserve">₹399–699/year — advisory + claim support</w:t>
            </w:r>
          </w:p>
        </w:tc>
      </w:tr>
      <w:tr>
        <w:tc>
          <w:tcPr>
            <w:tcW w:type="dxa" w:w="3500"/>
            <w:tcBorders>
              <w:top w:val="single" w:color="CCCCCC" w:sz="1"/>
              <w:left w:val="single" w:color="CCCCCC" w:sz="1"/>
              <w:bottom w:val="single" w:color="CCCCCC" w:sz="1"/>
              <w:right w:val="single" w:color="CCCCCC" w:sz="1"/>
            </w:tcBorders>
            <w:shd w:fill="F2F4F6" w:val="clear"/>
            <w:tcMar>
              <w:top w:type="dxa" w:w="100"/>
              <w:left w:type="dxa" w:w="150"/>
              <w:bottom w:type="dxa" w:w="100"/>
              <w:right w:type="dxa" w:w="150"/>
            </w:tcMar>
            <w:vAlign w:val="top"/>
          </w:tcPr>
          <w:p>
            <w:r>
              <w:rPr>
                <w:rFonts w:ascii="Arial" w:cs="Arial" w:eastAsia="Arial" w:hAnsi="Arial"/>
                <w:b/>
                <w:bCs/>
                <w:color w:val="1E3A5F"/>
                <w:sz w:val="22"/>
                <w:szCs w:val="22"/>
              </w:rPr>
              <w:t xml:space="preserve">Renewal commissions (broker)</w:t>
            </w:r>
          </w:p>
        </w:tc>
        <w:tc>
          <w:tcPr>
            <w:tcW w:type="dxa" w:w="5860"/>
            <w:tcBorders>
              <w:top w:val="single" w:color="CCCCCC" w:sz="1"/>
              <w:left w:val="single" w:color="CCCCCC" w:sz="1"/>
              <w:bottom w:val="single" w:color="CCCCCC" w:sz="1"/>
              <w:right w:val="single" w:color="CCCCCC" w:sz="1"/>
            </w:tcBorders>
            <w:shd w:fill="F2F4F6" w:val="clear"/>
            <w:tcMar>
              <w:top w:type="dxa" w:w="100"/>
              <w:left w:type="dxa" w:w="150"/>
              <w:bottom w:type="dxa" w:w="100"/>
              <w:right w:type="dxa" w:w="150"/>
            </w:tcMar>
            <w:vAlign w:val="top"/>
          </w:tcPr>
          <w:p>
            <w:r>
              <w:rPr>
                <w:rFonts w:ascii="Arial" w:cs="Arial" w:eastAsia="Arial" w:hAnsi="Arial"/>
                <w:color w:val="1A1A2E"/>
                <w:sz w:val="22"/>
                <w:szCs w:val="22"/>
              </w:rPr>
              <w:t xml:space="preserve">When policies renew through platform referral</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r>
              <w:rPr>
                <w:rFonts w:ascii="Arial" w:cs="Arial" w:eastAsia="Arial" w:hAnsi="Arial"/>
                <w:b/>
                <w:bCs/>
                <w:color w:val="1E3A5F"/>
                <w:sz w:val="22"/>
                <w:szCs w:val="22"/>
              </w:rPr>
              <w:t xml:space="preserve">Gap-fill placement commission</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r>
              <w:rPr>
                <w:rFonts w:ascii="Arial" w:cs="Arial" w:eastAsia="Arial" w:hAnsi="Arial"/>
                <w:color w:val="1A1A2E"/>
                <w:sz w:val="22"/>
                <w:szCs w:val="22"/>
              </w:rPr>
              <w:t xml:space="preserve">₹5,000–15,000 per new policy placed</w:t>
            </w:r>
          </w:p>
        </w:tc>
      </w:tr>
      <w:tr>
        <w:tc>
          <w:tcPr>
            <w:tcW w:type="dxa" w:w="3500"/>
            <w:tcBorders>
              <w:top w:val="single" w:color="CCCCCC" w:sz="1"/>
              <w:left w:val="single" w:color="CCCCCC" w:sz="1"/>
              <w:bottom w:val="single" w:color="CCCCCC" w:sz="1"/>
              <w:right w:val="single" w:color="CCCCCC" w:sz="1"/>
            </w:tcBorders>
            <w:shd w:fill="F2F4F6" w:val="clear"/>
            <w:tcMar>
              <w:top w:type="dxa" w:w="100"/>
              <w:left w:type="dxa" w:w="150"/>
              <w:bottom w:type="dxa" w:w="100"/>
              <w:right w:type="dxa" w:w="150"/>
            </w:tcMar>
            <w:vAlign w:val="top"/>
          </w:tcPr>
          <w:p>
            <w:r>
              <w:rPr>
                <w:rFonts w:ascii="Arial" w:cs="Arial" w:eastAsia="Arial" w:hAnsi="Arial"/>
                <w:b/>
                <w:bCs/>
                <w:color w:val="1E3A5F"/>
                <w:sz w:val="22"/>
                <w:szCs w:val="22"/>
              </w:rPr>
              <w:t xml:space="preserve">B2B: HR tools / employers</w:t>
            </w:r>
          </w:p>
        </w:tc>
        <w:tc>
          <w:tcPr>
            <w:tcW w:type="dxa" w:w="5860"/>
            <w:tcBorders>
              <w:top w:val="single" w:color="CCCCCC" w:sz="1"/>
              <w:left w:val="single" w:color="CCCCCC" w:sz="1"/>
              <w:bottom w:val="single" w:color="CCCCCC" w:sz="1"/>
              <w:right w:val="single" w:color="CCCCCC" w:sz="1"/>
            </w:tcBorders>
            <w:shd w:fill="F2F4F6" w:val="clear"/>
            <w:tcMar>
              <w:top w:type="dxa" w:w="100"/>
              <w:left w:type="dxa" w:w="150"/>
              <w:bottom w:type="dxa" w:w="100"/>
              <w:right w:type="dxa" w:w="150"/>
            </w:tcMar>
            <w:vAlign w:val="top"/>
          </w:tcPr>
          <w:p>
            <w:r>
              <w:rPr>
                <w:rFonts w:ascii="Arial" w:cs="Arial" w:eastAsia="Arial" w:hAnsi="Arial"/>
                <w:color w:val="1A1A2E"/>
                <w:sz w:val="22"/>
                <w:szCs w:val="22"/>
              </w:rPr>
              <w:t xml:space="preserve">Group policy management dashboard ₹500–1,200/employee/year</w:t>
            </w:r>
          </w:p>
        </w:tc>
      </w:tr>
    </w:tbl>
    <w:p>
      <w:pPr>
        <w:spacing w:after="0" w:before="60"/>
      </w:pPr>
    </w:p>
    <w:p>
      <w:pPr>
        <w:pStyle w:val="Heading2"/>
        <w:spacing w:after="100" w:before="240"/>
      </w:pPr>
      <w:r>
        <w:rPr>
          <w:rFonts w:ascii="Arial" w:cs="Arial" w:eastAsia="Arial" w:hAnsi="Arial"/>
          <w:b/>
          <w:bCs/>
          <w:color w:val="2E86AB"/>
          <w:sz w:val="26"/>
          <w:szCs w:val="26"/>
        </w:rPr>
        <w:t xml:space="preserve">Competitive Moat</w:t>
      </w:r>
    </w:p>
    <w:p>
      <w:pPr>
        <w:pStyle w:val="ListParagraph"/>
        <w:numPr>
          <w:ilvl w:val="0"/>
          <w:numId w:val="2"/>
        </w:numPr>
        <w:spacing w:after="40" w:before="40"/>
      </w:pPr>
      <w:r>
        <w:rPr>
          <w:rFonts w:ascii="Arial" w:cs="Arial" w:eastAsia="Arial" w:hAnsi="Arial"/>
          <w:color w:val="1A1A2E"/>
          <w:sz w:val="22"/>
          <w:szCs w:val="22"/>
        </w:rPr>
        <w:t xml:space="preserve">Network stickiness: once all family policies are uploaded, migrating elsewhere is high-friction. The vault creates a lock-in that compounds with each new policy added.</w:t>
      </w:r>
    </w:p>
    <w:p>
      <w:pPr>
        <w:pStyle w:val="ListParagraph"/>
        <w:numPr>
          <w:ilvl w:val="0"/>
          <w:numId w:val="2"/>
        </w:numPr>
        <w:spacing w:after="40" w:before="40"/>
      </w:pPr>
      <w:r>
        <w:rPr>
          <w:rFonts w:ascii="Arial" w:cs="Arial" w:eastAsia="Arial" w:hAnsi="Arial"/>
          <w:color w:val="1A1A2E"/>
          <w:sz w:val="22"/>
          <w:szCs w:val="22"/>
        </w:rPr>
        <w:t xml:space="preserve">Data moat: family-level policy portfolio data is uniquely valuable for actuarial modeling, product design insights, and renewal propensity prediction.</w:t>
      </w:r>
    </w:p>
    <w:p>
      <w:pPr>
        <w:pStyle w:val="ListParagraph"/>
        <w:numPr>
          <w:ilvl w:val="0"/>
          <w:numId w:val="2"/>
        </w:numPr>
        <w:spacing w:after="40" w:before="40"/>
      </w:pPr>
      <w:r>
        <w:rPr>
          <w:rFonts w:ascii="Arial" w:cs="Arial" w:eastAsia="Arial" w:hAnsi="Arial"/>
          <w:color w:val="1A1A2E"/>
          <w:sz w:val="22"/>
          <w:szCs w:val="22"/>
        </w:rPr>
        <w:t xml:space="preserve">Bima Sugam API advantage: once the API opens, platforms that have already built user habit around the dashboard will pull policy data effortlessly — latecomers won't have the established user base.</w:t>
      </w:r>
    </w:p>
    <w:p>
      <w:pPr>
        <w:spacing w:after="0" w:before="60"/>
      </w:pPr>
    </w:p>
    <w:p>
      <w:pPr>
        <w:pStyle w:val="Heading2"/>
        <w:spacing w:after="100" w:before="240"/>
      </w:pPr>
      <w:r>
        <w:rPr>
          <w:rFonts w:ascii="Arial" w:cs="Arial" w:eastAsia="Arial" w:hAnsi="Arial"/>
          <w:b/>
          <w:bCs/>
          <w:color w:val="2E86AB"/>
          <w:sz w:val="26"/>
          <w:szCs w:val="26"/>
        </w:rPr>
        <w:t xml:space="preserve">Risks &amp; Mitigations</w:t>
      </w:r>
    </w:p>
    <w:p>
      <w:pPr>
        <w:pStyle w:val="ListParagraph"/>
        <w:numPr>
          <w:ilvl w:val="0"/>
          <w:numId w:val="2"/>
        </w:numPr>
        <w:spacing w:after="40" w:before="40"/>
      </w:pPr>
      <w:r>
        <w:rPr>
          <w:rFonts w:ascii="Arial" w:cs="Arial" w:eastAsia="Arial" w:hAnsi="Arial"/>
          <w:color w:val="1A1A2E"/>
          <w:sz w:val="22"/>
          <w:szCs w:val="22"/>
        </w:rPr>
        <w:t xml:space="preserve">Adoption friction: uploading 6 policies manually is effort. Solve with 'policy photo upload' — OCR extracts key fields automatically.</w:t>
      </w:r>
    </w:p>
    <w:p>
      <w:pPr>
        <w:pStyle w:val="ListParagraph"/>
        <w:numPr>
          <w:ilvl w:val="0"/>
          <w:numId w:val="2"/>
        </w:numPr>
        <w:spacing w:after="40" w:before="40"/>
      </w:pPr>
      <w:r>
        <w:rPr>
          <w:rFonts w:ascii="Arial" w:cs="Arial" w:eastAsia="Arial" w:hAnsi="Arial"/>
          <w:color w:val="1A1A2E"/>
          <w:sz w:val="22"/>
          <w:szCs w:val="22"/>
        </w:rPr>
        <w:t xml:space="preserve">Engagement risk: insurance is low-salience between events. Solve with proactive alerts (renewal, nominee, gap) that create regular touch-points.</w:t>
      </w:r>
    </w:p>
    <w:p>
      <w:pPr>
        <w:pStyle w:val="ListParagraph"/>
        <w:numPr>
          <w:ilvl w:val="0"/>
          <w:numId w:val="2"/>
        </w:numPr>
        <w:spacing w:after="40" w:before="40"/>
      </w:pPr>
      <w:r>
        <w:rPr>
          <w:rFonts w:ascii="Arial" w:cs="Arial" w:eastAsia="Arial" w:hAnsi="Arial"/>
          <w:color w:val="1A1A2E"/>
          <w:sz w:val="22"/>
          <w:szCs w:val="22"/>
        </w:rPr>
        <w:t xml:space="preserve">Revenue patience: this product builds slowly. Expect 90–120 days to first meaningful policy commissions.</w:t>
      </w:r>
    </w:p>
    <w:p>
      <w:pPr>
        <w:spacing w:after="0" w:before="60"/>
      </w:pPr>
    </w:p>
    <w:p>
      <w:pPr>
        <w:pStyle w:val="Heading2"/>
        <w:spacing w:after="100" w:before="240"/>
      </w:pPr>
      <w:r>
        <w:rPr>
          <w:rFonts w:ascii="Arial" w:cs="Arial" w:eastAsia="Arial" w:hAnsi="Arial"/>
          <w:b/>
          <w:bCs/>
          <w:color w:val="2E86AB"/>
          <w:sz w:val="26"/>
          <w:szCs w:val="26"/>
        </w:rPr>
        <w:t xml:space="preserve">Key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F2F4F6" w:val="clear"/>
            <w:tcMar>
              <w:top w:type="dxa" w:w="100"/>
              <w:left w:type="dxa" w:w="150"/>
              <w:bottom w:type="dxa" w:w="100"/>
              <w:right w:type="dxa" w:w="150"/>
            </w:tcMar>
            <w:vAlign w:val="top"/>
          </w:tcPr>
          <w:p>
            <w:r>
              <w:rPr>
                <w:rFonts w:ascii="Arial" w:cs="Arial" w:eastAsia="Arial" w:hAnsi="Arial"/>
                <w:b/>
                <w:bCs/>
                <w:color w:val="1E3A5F"/>
                <w:sz w:val="22"/>
                <w:szCs w:val="22"/>
              </w:rPr>
              <w:t xml:space="preserve">Month 3 target</w:t>
            </w:r>
          </w:p>
        </w:tc>
        <w:tc>
          <w:tcPr>
            <w:tcW w:type="dxa" w:w="5860"/>
            <w:tcBorders>
              <w:top w:val="single" w:color="CCCCCC" w:sz="1"/>
              <w:left w:val="single" w:color="CCCCCC" w:sz="1"/>
              <w:bottom w:val="single" w:color="CCCCCC" w:sz="1"/>
              <w:right w:val="single" w:color="CCCCCC" w:sz="1"/>
            </w:tcBorders>
            <w:shd w:fill="F2F4F6" w:val="clear"/>
            <w:tcMar>
              <w:top w:type="dxa" w:w="100"/>
              <w:left w:type="dxa" w:w="150"/>
              <w:bottom w:type="dxa" w:w="100"/>
              <w:right w:type="dxa" w:w="150"/>
            </w:tcMar>
            <w:vAlign w:val="top"/>
          </w:tcPr>
          <w:p>
            <w:r>
              <w:rPr>
                <w:rFonts w:ascii="Arial" w:cs="Arial" w:eastAsia="Arial" w:hAnsi="Arial"/>
                <w:color w:val="1A1A2E"/>
                <w:sz w:val="22"/>
                <w:szCs w:val="22"/>
              </w:rPr>
              <w:t xml:space="preserve">2,000 families on platform, 500 premium subscribers</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r>
              <w:rPr>
                <w:rFonts w:ascii="Arial" w:cs="Arial" w:eastAsia="Arial" w:hAnsi="Arial"/>
                <w:b/>
                <w:bCs/>
                <w:color w:val="1E3A5F"/>
                <w:sz w:val="22"/>
                <w:szCs w:val="22"/>
              </w:rPr>
              <w:t xml:space="preserve">Month 6 MRR target</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r>
              <w:rPr>
                <w:rFonts w:ascii="Arial" w:cs="Arial" w:eastAsia="Arial" w:hAnsi="Arial"/>
                <w:color w:val="1A1A2E"/>
                <w:sz w:val="22"/>
                <w:szCs w:val="22"/>
              </w:rPr>
              <w:t xml:space="preserve">₹10L (subscriptions + renewals + 20 placements/month)</w:t>
            </w:r>
          </w:p>
        </w:tc>
      </w:tr>
      <w:tr>
        <w:tc>
          <w:tcPr>
            <w:tcW w:type="dxa" w:w="3500"/>
            <w:tcBorders>
              <w:top w:val="single" w:color="CCCCCC" w:sz="1"/>
              <w:left w:val="single" w:color="CCCCCC" w:sz="1"/>
              <w:bottom w:val="single" w:color="CCCCCC" w:sz="1"/>
              <w:right w:val="single" w:color="CCCCCC" w:sz="1"/>
            </w:tcBorders>
            <w:shd w:fill="F2F4F6" w:val="clear"/>
            <w:tcMar>
              <w:top w:type="dxa" w:w="100"/>
              <w:left w:type="dxa" w:w="150"/>
              <w:bottom w:type="dxa" w:w="100"/>
              <w:right w:type="dxa" w:w="150"/>
            </w:tcMar>
            <w:vAlign w:val="top"/>
          </w:tcPr>
          <w:p>
            <w:r>
              <w:rPr>
                <w:rFonts w:ascii="Arial" w:cs="Arial" w:eastAsia="Arial" w:hAnsi="Arial"/>
                <w:b/>
                <w:bCs/>
                <w:color w:val="1E3A5F"/>
                <w:sz w:val="22"/>
                <w:szCs w:val="22"/>
              </w:rPr>
              <w:t xml:space="preserve">Month 12 MRR target</w:t>
            </w:r>
          </w:p>
        </w:tc>
        <w:tc>
          <w:tcPr>
            <w:tcW w:type="dxa" w:w="5860"/>
            <w:tcBorders>
              <w:top w:val="single" w:color="CCCCCC" w:sz="1"/>
              <w:left w:val="single" w:color="CCCCCC" w:sz="1"/>
              <w:bottom w:val="single" w:color="CCCCCC" w:sz="1"/>
              <w:right w:val="single" w:color="CCCCCC" w:sz="1"/>
            </w:tcBorders>
            <w:shd w:fill="F2F4F6" w:val="clear"/>
            <w:tcMar>
              <w:top w:type="dxa" w:w="100"/>
              <w:left w:type="dxa" w:w="150"/>
              <w:bottom w:type="dxa" w:w="100"/>
              <w:right w:type="dxa" w:w="150"/>
            </w:tcMar>
            <w:vAlign w:val="top"/>
          </w:tcPr>
          <w:p>
            <w:r>
              <w:rPr>
                <w:rFonts w:ascii="Arial" w:cs="Arial" w:eastAsia="Arial" w:hAnsi="Arial"/>
                <w:color w:val="1A1A2E"/>
                <w:sz w:val="22"/>
                <w:szCs w:val="22"/>
              </w:rPr>
              <w:t xml:space="preserve">₹35L — targeting 20,000 premium families</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r>
              <w:rPr>
                <w:rFonts w:ascii="Arial" w:cs="Arial" w:eastAsia="Arial" w:hAnsi="Arial"/>
                <w:b/>
                <w:bCs/>
                <w:color w:val="1E3A5F"/>
                <w:sz w:val="22"/>
                <w:szCs w:val="22"/>
              </w:rPr>
              <w:t xml:space="preserve">North Star</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r>
              <w:rPr>
                <w:rFonts w:ascii="Arial" w:cs="Arial" w:eastAsia="Arial" w:hAnsi="Arial"/>
                <w:color w:val="1A1A2E"/>
                <w:sz w:val="22"/>
                <w:szCs w:val="22"/>
              </w:rPr>
              <w:t xml:space="preserve">Policies per family (target 4+ per active household)</w:t>
            </w:r>
          </w:p>
        </w:tc>
      </w:tr>
    </w:tbl>
    <w:p>
      <w:pPr>
        <w:spacing w:after="0" w:before="60"/>
      </w:pPr>
    </w:p>
    <w:p>
      <w:pPr>
        <w:pStyle w:val="Heading2"/>
        <w:spacing w:after="100" w:before="240"/>
      </w:pPr>
      <w:r>
        <w:rPr>
          <w:rFonts w:ascii="Arial" w:cs="Arial" w:eastAsia="Arial" w:hAnsi="Arial"/>
          <w:b/>
          <w:bCs/>
          <w:color w:val="2E86AB"/>
          <w:sz w:val="26"/>
          <w:szCs w:val="26"/>
        </w:rPr>
        <w:t xml:space="preserve">First 90 Days</w:t>
      </w:r>
    </w:p>
    <w:p>
      <w:pPr>
        <w:pStyle w:val="ListParagraph"/>
        <w:numPr>
          <w:ilvl w:val="0"/>
          <w:numId w:val="2"/>
        </w:numPr>
        <w:spacing w:after="40" w:before="40"/>
      </w:pPr>
      <w:r>
        <w:rPr>
          <w:rFonts w:ascii="Arial" w:cs="Arial" w:eastAsia="Arial" w:hAnsi="Arial"/>
          <w:color w:val="1A1A2E"/>
          <w:sz w:val="22"/>
          <w:szCs w:val="22"/>
        </w:rPr>
        <w:t xml:space="preserve">Days 1–30: Build manual MVP — Google Form intake, WhatsApp response with policy summary and reminder schedule. Test with 50 families from network.</w:t>
      </w:r>
    </w:p>
    <w:p>
      <w:pPr>
        <w:pStyle w:val="ListParagraph"/>
        <w:numPr>
          <w:ilvl w:val="0"/>
          <w:numId w:val="2"/>
        </w:numPr>
        <w:spacing w:after="40" w:before="40"/>
      </w:pPr>
      <w:r>
        <w:rPr>
          <w:rFonts w:ascii="Arial" w:cs="Arial" w:eastAsia="Arial" w:hAnsi="Arial"/>
          <w:color w:val="1A1A2E"/>
          <w:sz w:val="22"/>
          <w:szCs w:val="22"/>
        </w:rPr>
        <w:t xml:space="preserve">Days 31–60: Web app with OCR upload and dashboard. Target 500 free users.</w:t>
      </w:r>
    </w:p>
    <w:p>
      <w:pPr>
        <w:pStyle w:val="ListParagraph"/>
        <w:numPr>
          <w:ilvl w:val="0"/>
          <w:numId w:val="2"/>
        </w:numPr>
        <w:spacing w:after="40" w:before="40"/>
      </w:pPr>
      <w:r>
        <w:rPr>
          <w:rFonts w:ascii="Arial" w:cs="Arial" w:eastAsia="Arial" w:hAnsi="Arial"/>
          <w:color w:val="1A1A2E"/>
          <w:sz w:val="22"/>
          <w:szCs w:val="22"/>
        </w:rPr>
        <w:t xml:space="preserve">Days 61–90: Launch premium. Get broker license. First 5 renewal commissions earned.</w:t>
      </w:r>
    </w:p>
    <w:p>
      <w:pPr>
        <w:pBdr>
          <w:bottom w:val="single" w:color="2E86AB" w:sz="4" w:space="1"/>
        </w:pBdr>
        <w:spacing w:after="120" w:before="120"/>
      </w:pPr>
    </w:p>
    <w:p>
      <w:r>
        <w:br w:type="page"/>
      </w:r>
    </w:p>
    <w:p>
      <w:pPr>
        <w:spacing w:after="120" w:before="0"/>
      </w:pPr>
      <w:r>
        <w:rPr>
          <w:rFonts w:ascii="Arial" w:cs="Arial" w:eastAsia="Arial" w:hAnsi="Arial"/>
          <w:b/>
          <w:bCs/>
          <w:color w:val="2E86AB"/>
          <w:sz w:val="36"/>
          <w:szCs w:val="36"/>
        </w:rPr>
        <w:t xml:space="preserve">Idea 5  </w:t>
      </w:r>
      <w:r>
        <w:rPr>
          <w:rFonts w:ascii="Arial" w:cs="Arial" w:eastAsia="Arial" w:hAnsi="Arial"/>
          <w:b/>
          <w:bCs/>
          <w:color w:val="1E3A5F"/>
          <w:sz w:val="36"/>
          <w:szCs w:val="36"/>
        </w:rPr>
        <w:t xml:space="preserve">Vernacular Tier 2/3 Portal</w:t>
      </w:r>
    </w:p>
    <w:p>
      <w:pPr>
        <w:spacing w:after="240" w:before="0"/>
      </w:pPr>
      <w:r>
        <w:rPr>
          <w:rFonts w:ascii="Arial" w:cs="Arial" w:eastAsia="Arial" w:hAnsi="Arial"/>
          <w:i/>
          <w:iCs/>
          <w:color w:val="555555"/>
          <w:sz w:val="24"/>
          <w:szCs w:val="24"/>
        </w:rPr>
        <w:t xml:space="preserve">"Bima Sugam solves the backend. Nobody built the human-first frontend."</w:t>
      </w:r>
    </w:p>
    <w:p>
      <w:pPr>
        <w:pStyle w:val="Heading2"/>
        <w:spacing w:after="100" w:before="240"/>
      </w:pPr>
      <w:r>
        <w:rPr>
          <w:rFonts w:ascii="Arial" w:cs="Arial" w:eastAsia="Arial" w:hAnsi="Arial"/>
          <w:b/>
          <w:bCs/>
          <w:color w:val="2E86AB"/>
          <w:sz w:val="26"/>
          <w:szCs w:val="26"/>
        </w:rPr>
        <w:t xml:space="preserve">The Problem</w:t>
      </w:r>
    </w:p>
    <w:p>
      <w:pPr>
        <w:spacing w:after="60" w:before="60"/>
      </w:pPr>
      <w:r>
        <w:rPr>
          <w:rFonts w:ascii="Arial" w:cs="Arial" w:eastAsia="Arial" w:hAnsi="Arial"/>
          <w:color w:val="1A1A2E"/>
          <w:sz w:val="22"/>
          <w:szCs w:val="22"/>
        </w:rPr>
        <w:t xml:space="preserve">Only 23% of Indian adults demonstrate basic understanding of insurance products. In rural and semi-urban areas, insurance literacy drops below 15%. Policybazaar and Coverfox are built for digitally fluent, English-comfortable users in the top 50 cities. Bima Sugam's Phase 1 rollout is unlikely to solve the UX problem for first-time buyers.</w:t>
      </w:r>
    </w:p>
    <w:p>
      <w:pPr>
        <w:spacing w:after="0" w:before="60"/>
      </w:pPr>
    </w:p>
    <w:p>
      <w:pPr>
        <w:spacing w:after="60" w:before="60"/>
      </w:pPr>
      <w:r>
        <w:rPr>
          <w:rFonts w:ascii="Arial" w:cs="Arial" w:eastAsia="Arial" w:hAnsi="Arial"/>
          <w:color w:val="1A1A2E"/>
          <w:sz w:val="22"/>
          <w:szCs w:val="22"/>
        </w:rPr>
        <w:t xml:space="preserve">The Tier 2/3 insurance buyer does not want to compare plans. They want to understand what insurance means, why they need it, and what will happen when something goes wrong. That is an education-first, human-assisted journey — not a comparison widget.</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F2F4F6" w:val="clear"/>
            <w:tcMar>
              <w:top w:type="dxa" w:w="100"/>
              <w:left w:type="dxa" w:w="150"/>
              <w:bottom w:type="dxa" w:w="100"/>
              <w:right w:type="dxa" w:w="150"/>
            </w:tcMar>
            <w:vAlign w:val="top"/>
          </w:tcPr>
          <w:p>
            <w:r>
              <w:rPr>
                <w:rFonts w:ascii="Arial" w:cs="Arial" w:eastAsia="Arial" w:hAnsi="Arial"/>
                <w:b/>
                <w:bCs/>
                <w:color w:val="1E3A5F"/>
                <w:sz w:val="22"/>
                <w:szCs w:val="22"/>
              </w:rPr>
              <w:t xml:space="preserve">Insurance literacy (rural/semi-urban)</w:t>
            </w:r>
          </w:p>
        </w:tc>
        <w:tc>
          <w:tcPr>
            <w:tcW w:type="dxa" w:w="5860"/>
            <w:tcBorders>
              <w:top w:val="single" w:color="CCCCCC" w:sz="1"/>
              <w:left w:val="single" w:color="CCCCCC" w:sz="1"/>
              <w:bottom w:val="single" w:color="CCCCCC" w:sz="1"/>
              <w:right w:val="single" w:color="CCCCCC" w:sz="1"/>
            </w:tcBorders>
            <w:shd w:fill="F2F4F6" w:val="clear"/>
            <w:tcMar>
              <w:top w:type="dxa" w:w="100"/>
              <w:left w:type="dxa" w:w="150"/>
              <w:bottom w:type="dxa" w:w="100"/>
              <w:right w:type="dxa" w:w="150"/>
            </w:tcMar>
            <w:vAlign w:val="top"/>
          </w:tcPr>
          <w:p>
            <w:r>
              <w:rPr>
                <w:rFonts w:ascii="Arial" w:cs="Arial" w:eastAsia="Arial" w:hAnsi="Arial"/>
                <w:color w:val="1A1A2E"/>
                <w:sz w:val="22"/>
                <w:szCs w:val="22"/>
              </w:rPr>
              <w:t xml:space="preserve">Below 15%</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r>
              <w:rPr>
                <w:rFonts w:ascii="Arial" w:cs="Arial" w:eastAsia="Arial" w:hAnsi="Arial"/>
                <w:b/>
                <w:bCs/>
                <w:color w:val="1E3A5F"/>
                <w:sz w:val="22"/>
                <w:szCs w:val="22"/>
              </w:rPr>
              <w:t xml:space="preserve">Insurer CAC at Tier 2/3</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r>
              <w:rPr>
                <w:rFonts w:ascii="Arial" w:cs="Arial" w:eastAsia="Arial" w:hAnsi="Arial"/>
                <w:color w:val="1A1A2E"/>
                <w:sz w:val="22"/>
                <w:szCs w:val="22"/>
              </w:rPr>
              <w:t xml:space="preserve">High — opportunity for better rev-share</w:t>
            </w:r>
          </w:p>
        </w:tc>
      </w:tr>
      <w:tr>
        <w:tc>
          <w:tcPr>
            <w:tcW w:type="dxa" w:w="3500"/>
            <w:tcBorders>
              <w:top w:val="single" w:color="CCCCCC" w:sz="1"/>
              <w:left w:val="single" w:color="CCCCCC" w:sz="1"/>
              <w:bottom w:val="single" w:color="CCCCCC" w:sz="1"/>
              <w:right w:val="single" w:color="CCCCCC" w:sz="1"/>
            </w:tcBorders>
            <w:shd w:fill="F2F4F6" w:val="clear"/>
            <w:tcMar>
              <w:top w:type="dxa" w:w="100"/>
              <w:left w:type="dxa" w:w="150"/>
              <w:bottom w:type="dxa" w:w="100"/>
              <w:right w:type="dxa" w:w="150"/>
            </w:tcMar>
            <w:vAlign w:val="top"/>
          </w:tcPr>
          <w:p>
            <w:r>
              <w:rPr>
                <w:rFonts w:ascii="Arial" w:cs="Arial" w:eastAsia="Arial" w:hAnsi="Arial"/>
                <w:b/>
                <w:bCs/>
                <w:color w:val="1E3A5F"/>
                <w:sz w:val="22"/>
                <w:szCs w:val="22"/>
              </w:rPr>
              <w:t xml:space="preserve">Hindi + 4 vernacular languages TAM</w:t>
            </w:r>
          </w:p>
        </w:tc>
        <w:tc>
          <w:tcPr>
            <w:tcW w:type="dxa" w:w="5860"/>
            <w:tcBorders>
              <w:top w:val="single" w:color="CCCCCC" w:sz="1"/>
              <w:left w:val="single" w:color="CCCCCC" w:sz="1"/>
              <w:bottom w:val="single" w:color="CCCCCC" w:sz="1"/>
              <w:right w:val="single" w:color="CCCCCC" w:sz="1"/>
            </w:tcBorders>
            <w:shd w:fill="F2F4F6" w:val="clear"/>
            <w:tcMar>
              <w:top w:type="dxa" w:w="100"/>
              <w:left w:type="dxa" w:w="150"/>
              <w:bottom w:type="dxa" w:w="100"/>
              <w:right w:type="dxa" w:w="150"/>
            </w:tcMar>
            <w:vAlign w:val="top"/>
          </w:tcPr>
          <w:p>
            <w:r>
              <w:rPr>
                <w:rFonts w:ascii="Arial" w:cs="Arial" w:eastAsia="Arial" w:hAnsi="Arial"/>
                <w:color w:val="1A1A2E"/>
                <w:sz w:val="22"/>
                <w:szCs w:val="22"/>
              </w:rPr>
              <w:t xml:space="preserve">700M+ potential users</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r>
              <w:rPr>
                <w:rFonts w:ascii="Arial" w:cs="Arial" w:eastAsia="Arial" w:hAnsi="Arial"/>
                <w:b/>
                <w:bCs/>
                <w:color w:val="1E3A5F"/>
                <w:sz w:val="22"/>
                <w:szCs w:val="22"/>
              </w:rPr>
              <w:t xml:space="preserve">Mobile penetration (Tier 2/3)</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r>
              <w:rPr>
                <w:rFonts w:ascii="Arial" w:cs="Arial" w:eastAsia="Arial" w:hAnsi="Arial"/>
                <w:color w:val="1A1A2E"/>
                <w:sz w:val="22"/>
                <w:szCs w:val="22"/>
              </w:rPr>
              <w:t xml:space="preserve">Growing rapidly, UPI as baseline digital behavior</w:t>
            </w:r>
          </w:p>
        </w:tc>
      </w:tr>
    </w:tbl>
    <w:p>
      <w:pPr>
        <w:spacing w:after="0" w:before="60"/>
      </w:pPr>
    </w:p>
    <w:p>
      <w:pPr>
        <w:pStyle w:val="Heading2"/>
        <w:spacing w:after="100" w:before="240"/>
      </w:pPr>
      <w:r>
        <w:rPr>
          <w:rFonts w:ascii="Arial" w:cs="Arial" w:eastAsia="Arial" w:hAnsi="Arial"/>
          <w:b/>
          <w:bCs/>
          <w:color w:val="2E86AB"/>
          <w:sz w:val="26"/>
          <w:szCs w:val="26"/>
        </w:rPr>
        <w:t xml:space="preserve">The Product</w:t>
      </w:r>
    </w:p>
    <w:p>
      <w:pPr>
        <w:pStyle w:val="ListParagraph"/>
        <w:numPr>
          <w:ilvl w:val="0"/>
          <w:numId w:val="2"/>
        </w:numPr>
        <w:spacing w:after="40" w:before="40"/>
      </w:pPr>
      <w:r>
        <w:rPr>
          <w:rFonts w:ascii="Arial" w:cs="Arial" w:eastAsia="Arial" w:hAnsi="Arial"/>
          <w:color w:val="1A1A2E"/>
          <w:sz w:val="22"/>
          <w:szCs w:val="22"/>
        </w:rPr>
        <w:t xml:space="preserve">Education-first flow: 'What is health insurance?' → 'Why do I need it?' → 'What will this cover for my family?' — in the user's language, with voice support</w:t>
      </w:r>
    </w:p>
    <w:p>
      <w:pPr>
        <w:pStyle w:val="ListParagraph"/>
        <w:numPr>
          <w:ilvl w:val="0"/>
          <w:numId w:val="2"/>
        </w:numPr>
        <w:spacing w:after="40" w:before="40"/>
      </w:pPr>
      <w:r>
        <w:rPr>
          <w:rFonts w:ascii="Arial" w:cs="Arial" w:eastAsia="Arial" w:hAnsi="Arial"/>
          <w:color w:val="1A1A2E"/>
          <w:sz w:val="22"/>
          <w:szCs w:val="22"/>
        </w:rPr>
        <w:t xml:space="preserve">AI-assisted explanation: complex policy terms translated into simple vernacular language examples ('Your waiting period means if you get diabetes today, the policy won't pay for diabetes treatment for the next 3 years')</w:t>
      </w:r>
    </w:p>
    <w:p>
      <w:pPr>
        <w:pStyle w:val="ListParagraph"/>
        <w:numPr>
          <w:ilvl w:val="0"/>
          <w:numId w:val="2"/>
        </w:numPr>
        <w:spacing w:after="40" w:before="40"/>
      </w:pPr>
      <w:r>
        <w:rPr>
          <w:rFonts w:ascii="Arial" w:cs="Arial" w:eastAsia="Arial" w:hAnsi="Arial"/>
          <w:color w:val="1A1A2E"/>
          <w:sz w:val="22"/>
          <w:szCs w:val="22"/>
        </w:rPr>
        <w:t xml:space="preserve">Video-call-to-advisor fallback: when the user reaches a decision point and wants a human, one-click video call to a bilingual advisor. Not a call center — a trained insurance advisor in the same language.</w:t>
      </w:r>
    </w:p>
    <w:p>
      <w:pPr>
        <w:pStyle w:val="ListParagraph"/>
        <w:numPr>
          <w:ilvl w:val="0"/>
          <w:numId w:val="2"/>
        </w:numPr>
        <w:spacing w:after="40" w:before="40"/>
      </w:pPr>
      <w:r>
        <w:rPr>
          <w:rFonts w:ascii="Arial" w:cs="Arial" w:eastAsia="Arial" w:hAnsi="Arial"/>
          <w:color w:val="1A1A2E"/>
          <w:sz w:val="22"/>
          <w:szCs w:val="22"/>
        </w:rPr>
        <w:t xml:space="preserve">WhatsApp-first: the entire journey available on WhatsApp for users who don't install apps. Policy documents delivered, premium reminders sent, claims tracked — all via WhatsApp.</w:t>
      </w:r>
    </w:p>
    <w:p>
      <w:pPr>
        <w:pStyle w:val="ListParagraph"/>
        <w:numPr>
          <w:ilvl w:val="0"/>
          <w:numId w:val="2"/>
        </w:numPr>
        <w:spacing w:after="40" w:before="40"/>
      </w:pPr>
      <w:r>
        <w:rPr>
          <w:rFonts w:ascii="Arial" w:cs="Arial" w:eastAsia="Arial" w:hAnsi="Arial"/>
          <w:color w:val="1A1A2E"/>
          <w:sz w:val="22"/>
          <w:szCs w:val="22"/>
        </w:rPr>
        <w:t xml:space="preserve">Phased buy: not 'buy now' as the CTA — 'learn more', then 'talk to advisor', then 'buy'. Reduces drop-off for first-time buyers.</w:t>
      </w:r>
    </w:p>
    <w:p>
      <w:pPr>
        <w:spacing w:after="0" w:before="60"/>
      </w:pPr>
    </w:p>
    <w:p>
      <w:pPr>
        <w:spacing w:after="60" w:before="60"/>
      </w:pPr>
      <w:r>
        <w:rPr>
          <w:rFonts w:ascii="Arial" w:cs="Arial" w:eastAsia="Arial" w:hAnsi="Arial"/>
          <w:color w:val="1A1A2E"/>
          <w:sz w:val="22"/>
          <w:szCs w:val="22"/>
        </w:rPr>
        <w:t xml:space="preserve">Languages at launch: Hindi, Kannada, Tamil, Telugu, Bengali. Marathi, Gujarati, Malayalam in Phase 2.</w:t>
      </w:r>
    </w:p>
    <w:p>
      <w:pPr>
        <w:spacing w:after="0" w:before="60"/>
      </w:pPr>
    </w:p>
    <w:p>
      <w:pPr>
        <w:pStyle w:val="Heading2"/>
        <w:spacing w:after="100" w:before="240"/>
      </w:pPr>
      <w:r>
        <w:rPr>
          <w:rFonts w:ascii="Arial" w:cs="Arial" w:eastAsia="Arial" w:hAnsi="Arial"/>
          <w:b/>
          <w:bCs/>
          <w:color w:val="2E86AB"/>
          <w:sz w:val="26"/>
          <w:szCs w:val="26"/>
        </w:rPr>
        <w:t xml:space="preserve">Revenue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F2F4F6" w:val="clear"/>
            <w:tcMar>
              <w:top w:type="dxa" w:w="100"/>
              <w:left w:type="dxa" w:w="150"/>
              <w:bottom w:type="dxa" w:w="100"/>
              <w:right w:type="dxa" w:w="150"/>
            </w:tcMar>
            <w:vAlign w:val="top"/>
          </w:tcPr>
          <w:p>
            <w:r>
              <w:rPr>
                <w:rFonts w:ascii="Arial" w:cs="Arial" w:eastAsia="Arial" w:hAnsi="Arial"/>
                <w:b/>
                <w:bCs/>
                <w:color w:val="1E3A5F"/>
                <w:sz w:val="22"/>
                <w:szCs w:val="22"/>
              </w:rPr>
              <w:t xml:space="preserve">Broker commission (policy placement)</w:t>
            </w:r>
          </w:p>
        </w:tc>
        <w:tc>
          <w:tcPr>
            <w:tcW w:type="dxa" w:w="5860"/>
            <w:tcBorders>
              <w:top w:val="single" w:color="CCCCCC" w:sz="1"/>
              <w:left w:val="single" w:color="CCCCCC" w:sz="1"/>
              <w:bottom w:val="single" w:color="CCCCCC" w:sz="1"/>
              <w:right w:val="single" w:color="CCCCCC" w:sz="1"/>
            </w:tcBorders>
            <w:shd w:fill="F2F4F6" w:val="clear"/>
            <w:tcMar>
              <w:top w:type="dxa" w:w="100"/>
              <w:left w:type="dxa" w:w="150"/>
              <w:bottom w:type="dxa" w:w="100"/>
              <w:right w:type="dxa" w:w="150"/>
            </w:tcMar>
            <w:vAlign w:val="top"/>
          </w:tcPr>
          <w:p>
            <w:r>
              <w:rPr>
                <w:rFonts w:ascii="Arial" w:cs="Arial" w:eastAsia="Arial" w:hAnsi="Arial"/>
                <w:color w:val="1A1A2E"/>
                <w:sz w:val="22"/>
                <w:szCs w:val="22"/>
              </w:rPr>
              <w:t xml:space="preserve">Standard 12–20% first-year premium</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r>
              <w:rPr>
                <w:rFonts w:ascii="Arial" w:cs="Arial" w:eastAsia="Arial" w:hAnsi="Arial"/>
                <w:b/>
                <w:bCs/>
                <w:color w:val="1E3A5F"/>
                <w:sz w:val="22"/>
                <w:szCs w:val="22"/>
              </w:rPr>
              <w:t xml:space="preserve">Insurer partnership bonus</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r>
              <w:rPr>
                <w:rFonts w:ascii="Arial" w:cs="Arial" w:eastAsia="Arial" w:hAnsi="Arial"/>
                <w:color w:val="1A1A2E"/>
                <w:sz w:val="22"/>
                <w:szCs w:val="22"/>
              </w:rPr>
              <w:t xml:space="preserve">Volume-based rev-share for Tier 2/3 acquisition</w:t>
            </w:r>
          </w:p>
        </w:tc>
      </w:tr>
      <w:tr>
        <w:tc>
          <w:tcPr>
            <w:tcW w:type="dxa" w:w="3500"/>
            <w:tcBorders>
              <w:top w:val="single" w:color="CCCCCC" w:sz="1"/>
              <w:left w:val="single" w:color="CCCCCC" w:sz="1"/>
              <w:bottom w:val="single" w:color="CCCCCC" w:sz="1"/>
              <w:right w:val="single" w:color="CCCCCC" w:sz="1"/>
            </w:tcBorders>
            <w:shd w:fill="F2F4F6" w:val="clear"/>
            <w:tcMar>
              <w:top w:type="dxa" w:w="100"/>
              <w:left w:type="dxa" w:w="150"/>
              <w:bottom w:type="dxa" w:w="100"/>
              <w:right w:type="dxa" w:w="150"/>
            </w:tcMar>
            <w:vAlign w:val="top"/>
          </w:tcPr>
          <w:p>
            <w:r>
              <w:rPr>
                <w:rFonts w:ascii="Arial" w:cs="Arial" w:eastAsia="Arial" w:hAnsi="Arial"/>
                <w:b/>
                <w:bCs/>
                <w:color w:val="1E3A5F"/>
                <w:sz w:val="22"/>
                <w:szCs w:val="22"/>
              </w:rPr>
              <w:t xml:space="preserve">Advisor network (franchise model)</w:t>
            </w:r>
          </w:p>
        </w:tc>
        <w:tc>
          <w:tcPr>
            <w:tcW w:type="dxa" w:w="5860"/>
            <w:tcBorders>
              <w:top w:val="single" w:color="CCCCCC" w:sz="1"/>
              <w:left w:val="single" w:color="CCCCCC" w:sz="1"/>
              <w:bottom w:val="single" w:color="CCCCCC" w:sz="1"/>
              <w:right w:val="single" w:color="CCCCCC" w:sz="1"/>
            </w:tcBorders>
            <w:shd w:fill="F2F4F6" w:val="clear"/>
            <w:tcMar>
              <w:top w:type="dxa" w:w="100"/>
              <w:left w:type="dxa" w:w="150"/>
              <w:bottom w:type="dxa" w:w="100"/>
              <w:right w:type="dxa" w:w="150"/>
            </w:tcMar>
            <w:vAlign w:val="top"/>
          </w:tcPr>
          <w:p>
            <w:r>
              <w:rPr>
                <w:rFonts w:ascii="Arial" w:cs="Arial" w:eastAsia="Arial" w:hAnsi="Arial"/>
                <w:color w:val="1A1A2E"/>
                <w:sz w:val="22"/>
                <w:szCs w:val="22"/>
              </w:rPr>
              <w:t xml:space="preserve">Local advisors pay ₹10,000 onboarding + take 40% of commission</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r>
              <w:rPr>
                <w:rFonts w:ascii="Arial" w:cs="Arial" w:eastAsia="Arial" w:hAnsi="Arial"/>
                <w:b/>
                <w:bCs/>
                <w:color w:val="1E3A5F"/>
                <w:sz w:val="22"/>
                <w:szCs w:val="22"/>
              </w:rPr>
              <w:t xml:space="preserve">Content sponsorship</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r>
              <w:rPr>
                <w:rFonts w:ascii="Arial" w:cs="Arial" w:eastAsia="Arial" w:hAnsi="Arial"/>
                <w:color w:val="1A1A2E"/>
                <w:sz w:val="22"/>
                <w:szCs w:val="22"/>
              </w:rPr>
              <w:t xml:space="preserve">Insurers sponsor vernacular educational content</w:t>
            </w:r>
          </w:p>
        </w:tc>
      </w:tr>
    </w:tbl>
    <w:p>
      <w:pPr>
        <w:spacing w:after="0" w:before="60"/>
      </w:pPr>
    </w:p>
    <w:p>
      <w:pPr>
        <w:pStyle w:val="Heading2"/>
        <w:spacing w:after="100" w:before="240"/>
      </w:pPr>
      <w:r>
        <w:rPr>
          <w:rFonts w:ascii="Arial" w:cs="Arial" w:eastAsia="Arial" w:hAnsi="Arial"/>
          <w:b/>
          <w:bCs/>
          <w:color w:val="2E86AB"/>
          <w:sz w:val="26"/>
          <w:szCs w:val="26"/>
        </w:rPr>
        <w:t xml:space="preserve">Competitive Moat</w:t>
      </w:r>
    </w:p>
    <w:p>
      <w:pPr>
        <w:pStyle w:val="ListParagraph"/>
        <w:numPr>
          <w:ilvl w:val="0"/>
          <w:numId w:val="2"/>
        </w:numPr>
        <w:spacing w:after="40" w:before="40"/>
      </w:pPr>
      <w:r>
        <w:rPr>
          <w:rFonts w:ascii="Arial" w:cs="Arial" w:eastAsia="Arial" w:hAnsi="Arial"/>
          <w:color w:val="1A1A2E"/>
          <w:sz w:val="22"/>
          <w:szCs w:val="22"/>
        </w:rPr>
        <w:t xml:space="preserve">Vernacular content library: 12-language insurance education content with voice is a 2-year asset. Once built, it compounds — no competitor will rebuild it.</w:t>
      </w:r>
    </w:p>
    <w:p>
      <w:pPr>
        <w:pStyle w:val="ListParagraph"/>
        <w:numPr>
          <w:ilvl w:val="0"/>
          <w:numId w:val="2"/>
        </w:numPr>
        <w:spacing w:after="40" w:before="40"/>
      </w:pPr>
      <w:r>
        <w:rPr>
          <w:rFonts w:ascii="Arial" w:cs="Arial" w:eastAsia="Arial" w:hAnsi="Arial"/>
          <w:color w:val="1A1A2E"/>
          <w:sz w:val="22"/>
          <w:szCs w:val="22"/>
        </w:rPr>
        <w:t xml:space="preserve">Last-mile advisor network: local advisors in each pincode who speak the language and know the community. This is a distribution moat that cannot be replicated digitally.</w:t>
      </w:r>
    </w:p>
    <w:p>
      <w:pPr>
        <w:pStyle w:val="ListParagraph"/>
        <w:numPr>
          <w:ilvl w:val="0"/>
          <w:numId w:val="2"/>
        </w:numPr>
        <w:spacing w:after="40" w:before="40"/>
      </w:pPr>
      <w:r>
        <w:rPr>
          <w:rFonts w:ascii="Arial" w:cs="Arial" w:eastAsia="Arial" w:hAnsi="Arial"/>
          <w:color w:val="1A1A2E"/>
          <w:sz w:val="22"/>
          <w:szCs w:val="22"/>
        </w:rPr>
        <w:t xml:space="preserve">IRDAI Bima Vahak alignment: IRDAI's own women-led last-mile distribution initiative (Bima Vahak) is a potential partnership and regulatory tailwind.</w:t>
      </w:r>
    </w:p>
    <w:p>
      <w:pPr>
        <w:spacing w:after="0" w:before="60"/>
      </w:pPr>
    </w:p>
    <w:p>
      <w:pPr>
        <w:pStyle w:val="Heading2"/>
        <w:spacing w:after="100" w:before="240"/>
      </w:pPr>
      <w:r>
        <w:rPr>
          <w:rFonts w:ascii="Arial" w:cs="Arial" w:eastAsia="Arial" w:hAnsi="Arial"/>
          <w:b/>
          <w:bCs/>
          <w:color w:val="2E86AB"/>
          <w:sz w:val="26"/>
          <w:szCs w:val="26"/>
        </w:rPr>
        <w:t xml:space="preserve">Risks &amp; Mitigations</w:t>
      </w:r>
    </w:p>
    <w:p>
      <w:pPr>
        <w:pStyle w:val="ListParagraph"/>
        <w:numPr>
          <w:ilvl w:val="0"/>
          <w:numId w:val="2"/>
        </w:numPr>
        <w:spacing w:after="40" w:before="40"/>
      </w:pPr>
      <w:r>
        <w:rPr>
          <w:rFonts w:ascii="Arial" w:cs="Arial" w:eastAsia="Arial" w:hAnsi="Arial"/>
          <w:color w:val="1A1A2E"/>
          <w:sz w:val="22"/>
          <w:szCs w:val="22"/>
        </w:rPr>
        <w:t xml:space="preserve">Slower revenue: education-first means longer sales cycle. 3–4x more touchpoints before policy purchase vs. Policybazaar.</w:t>
      </w:r>
    </w:p>
    <w:p>
      <w:pPr>
        <w:pStyle w:val="ListParagraph"/>
        <w:numPr>
          <w:ilvl w:val="0"/>
          <w:numId w:val="2"/>
        </w:numPr>
        <w:spacing w:after="40" w:before="40"/>
      </w:pPr>
      <w:r>
        <w:rPr>
          <w:rFonts w:ascii="Arial" w:cs="Arial" w:eastAsia="Arial" w:hAnsi="Arial"/>
          <w:color w:val="1A1A2E"/>
          <w:sz w:val="22"/>
          <w:szCs w:val="22"/>
        </w:rPr>
        <w:t xml:space="preserve">Advisor quality control: franchise model introduces service variability. Requires training, certification, and quality scoring.</w:t>
      </w:r>
    </w:p>
    <w:p>
      <w:pPr>
        <w:pStyle w:val="ListParagraph"/>
        <w:numPr>
          <w:ilvl w:val="0"/>
          <w:numId w:val="2"/>
        </w:numPr>
        <w:spacing w:after="40" w:before="40"/>
      </w:pPr>
      <w:r>
        <w:rPr>
          <w:rFonts w:ascii="Arial" w:cs="Arial" w:eastAsia="Arial" w:hAnsi="Arial"/>
          <w:color w:val="1A1A2E"/>
          <w:sz w:val="22"/>
          <w:szCs w:val="22"/>
        </w:rPr>
        <w:t xml:space="preserve">Content operations: maintaining vernacular content across 12 languages + 20+ schemes is significant operational overhead.</w:t>
      </w:r>
    </w:p>
    <w:p>
      <w:pPr>
        <w:spacing w:after="0" w:before="60"/>
      </w:pPr>
    </w:p>
    <w:p>
      <w:pPr>
        <w:pStyle w:val="Heading2"/>
        <w:spacing w:after="100" w:before="240"/>
      </w:pPr>
      <w:r>
        <w:rPr>
          <w:rFonts w:ascii="Arial" w:cs="Arial" w:eastAsia="Arial" w:hAnsi="Arial"/>
          <w:b/>
          <w:bCs/>
          <w:color w:val="2E86AB"/>
          <w:sz w:val="26"/>
          <w:szCs w:val="26"/>
        </w:rPr>
        <w:t xml:space="preserve">Key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F2F4F6" w:val="clear"/>
            <w:tcMar>
              <w:top w:type="dxa" w:w="100"/>
              <w:left w:type="dxa" w:w="150"/>
              <w:bottom w:type="dxa" w:w="100"/>
              <w:right w:type="dxa" w:w="150"/>
            </w:tcMar>
            <w:vAlign w:val="top"/>
          </w:tcPr>
          <w:p>
            <w:r>
              <w:rPr>
                <w:rFonts w:ascii="Arial" w:cs="Arial" w:eastAsia="Arial" w:hAnsi="Arial"/>
                <w:b/>
                <w:bCs/>
                <w:color w:val="1E3A5F"/>
                <w:sz w:val="22"/>
                <w:szCs w:val="22"/>
              </w:rPr>
              <w:t xml:space="preserve">Month 3 target</w:t>
            </w:r>
          </w:p>
        </w:tc>
        <w:tc>
          <w:tcPr>
            <w:tcW w:type="dxa" w:w="5860"/>
            <w:tcBorders>
              <w:top w:val="single" w:color="CCCCCC" w:sz="1"/>
              <w:left w:val="single" w:color="CCCCCC" w:sz="1"/>
              <w:bottom w:val="single" w:color="CCCCCC" w:sz="1"/>
              <w:right w:val="single" w:color="CCCCCC" w:sz="1"/>
            </w:tcBorders>
            <w:shd w:fill="F2F4F6" w:val="clear"/>
            <w:tcMar>
              <w:top w:type="dxa" w:w="100"/>
              <w:left w:type="dxa" w:w="150"/>
              <w:bottom w:type="dxa" w:w="100"/>
              <w:right w:type="dxa" w:w="150"/>
            </w:tcMar>
            <w:vAlign w:val="top"/>
          </w:tcPr>
          <w:p>
            <w:r>
              <w:rPr>
                <w:rFonts w:ascii="Arial" w:cs="Arial" w:eastAsia="Arial" w:hAnsi="Arial"/>
                <w:color w:val="1A1A2E"/>
                <w:sz w:val="22"/>
                <w:szCs w:val="22"/>
              </w:rPr>
              <w:t xml:space="preserve">1 language (Hindi) fully live. 100 policies placed.</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r>
              <w:rPr>
                <w:rFonts w:ascii="Arial" w:cs="Arial" w:eastAsia="Arial" w:hAnsi="Arial"/>
                <w:b/>
                <w:bCs/>
                <w:color w:val="1E3A5F"/>
                <w:sz w:val="22"/>
                <w:szCs w:val="22"/>
              </w:rPr>
              <w:t xml:space="preserve">Month 6 MRR target</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r>
              <w:rPr>
                <w:rFonts w:ascii="Arial" w:cs="Arial" w:eastAsia="Arial" w:hAnsi="Arial"/>
                <w:color w:val="1A1A2E"/>
                <w:sz w:val="22"/>
                <w:szCs w:val="22"/>
              </w:rPr>
              <w:t xml:space="preserve">₹8L (300 policies/month at avg ₹2,500 commission)</w:t>
            </w:r>
          </w:p>
        </w:tc>
      </w:tr>
      <w:tr>
        <w:tc>
          <w:tcPr>
            <w:tcW w:type="dxa" w:w="3500"/>
            <w:tcBorders>
              <w:top w:val="single" w:color="CCCCCC" w:sz="1"/>
              <w:left w:val="single" w:color="CCCCCC" w:sz="1"/>
              <w:bottom w:val="single" w:color="CCCCCC" w:sz="1"/>
              <w:right w:val="single" w:color="CCCCCC" w:sz="1"/>
            </w:tcBorders>
            <w:shd w:fill="F2F4F6" w:val="clear"/>
            <w:tcMar>
              <w:top w:type="dxa" w:w="100"/>
              <w:left w:type="dxa" w:w="150"/>
              <w:bottom w:type="dxa" w:w="100"/>
              <w:right w:type="dxa" w:w="150"/>
            </w:tcMar>
            <w:vAlign w:val="top"/>
          </w:tcPr>
          <w:p>
            <w:r>
              <w:rPr>
                <w:rFonts w:ascii="Arial" w:cs="Arial" w:eastAsia="Arial" w:hAnsi="Arial"/>
                <w:b/>
                <w:bCs/>
                <w:color w:val="1E3A5F"/>
                <w:sz w:val="22"/>
                <w:szCs w:val="22"/>
              </w:rPr>
              <w:t xml:space="preserve">Month 12 MRR target</w:t>
            </w:r>
          </w:p>
        </w:tc>
        <w:tc>
          <w:tcPr>
            <w:tcW w:type="dxa" w:w="5860"/>
            <w:tcBorders>
              <w:top w:val="single" w:color="CCCCCC" w:sz="1"/>
              <w:left w:val="single" w:color="CCCCCC" w:sz="1"/>
              <w:bottom w:val="single" w:color="CCCCCC" w:sz="1"/>
              <w:right w:val="single" w:color="CCCCCC" w:sz="1"/>
            </w:tcBorders>
            <w:shd w:fill="F2F4F6" w:val="clear"/>
            <w:tcMar>
              <w:top w:type="dxa" w:w="100"/>
              <w:left w:type="dxa" w:w="150"/>
              <w:bottom w:type="dxa" w:w="100"/>
              <w:right w:type="dxa" w:w="150"/>
            </w:tcMar>
            <w:vAlign w:val="top"/>
          </w:tcPr>
          <w:p>
            <w:r>
              <w:rPr>
                <w:rFonts w:ascii="Arial" w:cs="Arial" w:eastAsia="Arial" w:hAnsi="Arial"/>
                <w:color w:val="1A1A2E"/>
                <w:sz w:val="22"/>
                <w:szCs w:val="22"/>
              </w:rPr>
              <w:t xml:space="preserve">₹30L (3 languages, 1,000 policies/month, 50-advisor network)</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r>
              <w:rPr>
                <w:rFonts w:ascii="Arial" w:cs="Arial" w:eastAsia="Arial" w:hAnsi="Arial"/>
                <w:b/>
                <w:bCs/>
                <w:color w:val="1E3A5F"/>
                <w:sz w:val="22"/>
                <w:szCs w:val="22"/>
              </w:rPr>
              <w:t xml:space="preserve">North Star</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r>
              <w:rPr>
                <w:rFonts w:ascii="Arial" w:cs="Arial" w:eastAsia="Arial" w:hAnsi="Arial"/>
                <w:color w:val="1A1A2E"/>
                <w:sz w:val="22"/>
                <w:szCs w:val="22"/>
              </w:rPr>
              <w:t xml:space="preserve">Policies placed per advisor per month (target: 8+)</w:t>
            </w:r>
          </w:p>
        </w:tc>
      </w:tr>
    </w:tbl>
    <w:p>
      <w:pPr>
        <w:spacing w:after="0" w:before="60"/>
      </w:pPr>
    </w:p>
    <w:p>
      <w:pPr>
        <w:pStyle w:val="Heading2"/>
        <w:spacing w:after="100" w:before="240"/>
      </w:pPr>
      <w:r>
        <w:rPr>
          <w:rFonts w:ascii="Arial" w:cs="Arial" w:eastAsia="Arial" w:hAnsi="Arial"/>
          <w:b/>
          <w:bCs/>
          <w:color w:val="2E86AB"/>
          <w:sz w:val="26"/>
          <w:szCs w:val="26"/>
        </w:rPr>
        <w:t xml:space="preserve">First 90 Days</w:t>
      </w:r>
    </w:p>
    <w:p>
      <w:pPr>
        <w:pStyle w:val="ListParagraph"/>
        <w:numPr>
          <w:ilvl w:val="0"/>
          <w:numId w:val="2"/>
        </w:numPr>
        <w:spacing w:after="40" w:before="40"/>
      </w:pPr>
      <w:r>
        <w:rPr>
          <w:rFonts w:ascii="Arial" w:cs="Arial" w:eastAsia="Arial" w:hAnsi="Arial"/>
          <w:color w:val="1A1A2E"/>
          <w:sz w:val="22"/>
          <w:szCs w:val="22"/>
        </w:rPr>
        <w:t xml:space="preserve">Days 1–30: Build Hindi WhatsApp-based insurance education bot. No sales. Just education. Get 1,000 users.</w:t>
      </w:r>
    </w:p>
    <w:p>
      <w:pPr>
        <w:pStyle w:val="ListParagraph"/>
        <w:numPr>
          <w:ilvl w:val="0"/>
          <w:numId w:val="2"/>
        </w:numPr>
        <w:spacing w:after="40" w:before="40"/>
      </w:pPr>
      <w:r>
        <w:rPr>
          <w:rFonts w:ascii="Arial" w:cs="Arial" w:eastAsia="Arial" w:hAnsi="Arial"/>
          <w:color w:val="1A1A2E"/>
          <w:sz w:val="22"/>
          <w:szCs w:val="22"/>
        </w:rPr>
        <w:t xml:space="preserve">Days 31–60: Add buy flow for 3 simple products (term, health, accident). Hire first 5 advisors from network. First 20 policies.</w:t>
      </w:r>
    </w:p>
    <w:p>
      <w:pPr>
        <w:pStyle w:val="ListParagraph"/>
        <w:numPr>
          <w:ilvl w:val="0"/>
          <w:numId w:val="2"/>
        </w:numPr>
        <w:spacing w:after="40" w:before="40"/>
      </w:pPr>
      <w:r>
        <w:rPr>
          <w:rFonts w:ascii="Arial" w:cs="Arial" w:eastAsia="Arial" w:hAnsi="Arial"/>
          <w:color w:val="1A1A2E"/>
          <w:sz w:val="22"/>
          <w:szCs w:val="22"/>
        </w:rPr>
        <w:t xml:space="preserve">Days 61–90: Launch 2nd language (Kannada or Tamil). Target 100 policies/month. Secure first insurer volume partnership.</w:t>
      </w:r>
    </w:p>
    <w:p>
      <w:pPr>
        <w:pBdr>
          <w:bottom w:val="single" w:color="2E86AB" w:sz="4" w:space="1"/>
        </w:pBdr>
        <w:spacing w:after="120" w:before="120"/>
      </w:pPr>
    </w:p>
    <w:p>
      <w:r>
        <w:br w:type="page"/>
      </w:r>
    </w:p>
    <w:p>
      <w:pPr>
        <w:spacing w:after="120" w:before="0"/>
      </w:pPr>
      <w:r>
        <w:rPr>
          <w:rFonts w:ascii="Arial" w:cs="Arial" w:eastAsia="Arial" w:hAnsi="Arial"/>
          <w:b/>
          <w:bCs/>
          <w:color w:val="2E86AB"/>
          <w:sz w:val="36"/>
          <w:szCs w:val="36"/>
        </w:rPr>
        <w:t xml:space="preserve">Idea 6  </w:t>
      </w:r>
      <w:r>
        <w:rPr>
          <w:rFonts w:ascii="Arial" w:cs="Arial" w:eastAsia="Arial" w:hAnsi="Arial"/>
          <w:b/>
          <w:bCs/>
          <w:color w:val="1E3A5F"/>
          <w:sz w:val="36"/>
          <w:szCs w:val="36"/>
        </w:rPr>
        <w:t xml:space="preserve">MSME Insurance Navigator</w:t>
      </w:r>
    </w:p>
    <w:p>
      <w:pPr>
        <w:spacing w:after="240" w:before="0"/>
      </w:pPr>
      <w:r>
        <w:rPr>
          <w:rFonts w:ascii="Arial" w:cs="Arial" w:eastAsia="Arial" w:hAnsi="Arial"/>
          <w:i/>
          <w:iCs/>
          <w:color w:val="555555"/>
          <w:sz w:val="24"/>
          <w:szCs w:val="24"/>
        </w:rPr>
        <w:t xml:space="preserve">"62 million businesses. 97% uninsured. Zero quality advisors."</w:t>
      </w:r>
    </w:p>
    <w:p>
      <w:pPr>
        <w:pStyle w:val="Heading2"/>
        <w:spacing w:after="100" w:before="240"/>
      </w:pPr>
      <w:r>
        <w:rPr>
          <w:rFonts w:ascii="Arial" w:cs="Arial" w:eastAsia="Arial" w:hAnsi="Arial"/>
          <w:b/>
          <w:bCs/>
          <w:color w:val="2E86AB"/>
          <w:sz w:val="26"/>
          <w:szCs w:val="26"/>
        </w:rPr>
        <w:t xml:space="preserve">The Problem</w:t>
      </w:r>
    </w:p>
    <w:p>
      <w:pPr>
        <w:spacing w:after="60" w:before="60"/>
      </w:pPr>
      <w:r>
        <w:rPr>
          <w:rFonts w:ascii="Arial" w:cs="Arial" w:eastAsia="Arial" w:hAnsi="Arial"/>
          <w:color w:val="1A1A2E"/>
          <w:sz w:val="22"/>
          <w:szCs w:val="22"/>
        </w:rPr>
        <w:t xml:space="preserve">Almost 85% of India's MSMEs had no insurance coverage per IRDAI data. Only 3% of 62 million business owners have any form of SME insurance. This is not a product availability problem — insurers offer fire, liability, group health, marine, and cyber products for MSMEs. It is a discovery and advisory problem.</w:t>
      </w:r>
    </w:p>
    <w:p>
      <w:pPr>
        <w:spacing w:after="0" w:before="60"/>
      </w:pPr>
    </w:p>
    <w:p>
      <w:pPr>
        <w:spacing w:after="60" w:before="60"/>
      </w:pPr>
      <w:r>
        <w:rPr>
          <w:rFonts w:ascii="Arial" w:cs="Arial" w:eastAsia="Arial" w:hAnsi="Arial"/>
          <w:color w:val="1A1A2E"/>
          <w:sz w:val="22"/>
          <w:szCs w:val="22"/>
        </w:rPr>
        <w:t xml:space="preserve">The MSME is too small for a corporate broker (Marsh, Aon only serve large corporates) and too complex for a Policybazaar comparison widget (which can't handle sector-specific risk profiles). Nobody serves the ₹1–10 crore revenue business owner.</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F2F4F6" w:val="clear"/>
            <w:tcMar>
              <w:top w:type="dxa" w:w="100"/>
              <w:left w:type="dxa" w:w="150"/>
              <w:bottom w:type="dxa" w:w="100"/>
              <w:right w:type="dxa" w:w="150"/>
            </w:tcMar>
            <w:vAlign w:val="top"/>
          </w:tcPr>
          <w:p>
            <w:r>
              <w:rPr>
                <w:rFonts w:ascii="Arial" w:cs="Arial" w:eastAsia="Arial" w:hAnsi="Arial"/>
                <w:b/>
                <w:bCs/>
                <w:color w:val="1E3A5F"/>
                <w:sz w:val="22"/>
                <w:szCs w:val="22"/>
              </w:rPr>
              <w:t xml:space="preserve">India MSME count</w:t>
            </w:r>
          </w:p>
        </w:tc>
        <w:tc>
          <w:tcPr>
            <w:tcW w:type="dxa" w:w="5860"/>
            <w:tcBorders>
              <w:top w:val="single" w:color="CCCCCC" w:sz="1"/>
              <w:left w:val="single" w:color="CCCCCC" w:sz="1"/>
              <w:bottom w:val="single" w:color="CCCCCC" w:sz="1"/>
              <w:right w:val="single" w:color="CCCCCC" w:sz="1"/>
            </w:tcBorders>
            <w:shd w:fill="F2F4F6" w:val="clear"/>
            <w:tcMar>
              <w:top w:type="dxa" w:w="100"/>
              <w:left w:type="dxa" w:w="150"/>
              <w:bottom w:type="dxa" w:w="100"/>
              <w:right w:type="dxa" w:w="150"/>
            </w:tcMar>
            <w:vAlign w:val="top"/>
          </w:tcPr>
          <w:p>
            <w:r>
              <w:rPr>
                <w:rFonts w:ascii="Arial" w:cs="Arial" w:eastAsia="Arial" w:hAnsi="Arial"/>
                <w:color w:val="1A1A2E"/>
                <w:sz w:val="22"/>
                <w:szCs w:val="22"/>
              </w:rPr>
              <w:t xml:space="preserve">62 million units</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r>
              <w:rPr>
                <w:rFonts w:ascii="Arial" w:cs="Arial" w:eastAsia="Arial" w:hAnsi="Arial"/>
                <w:b/>
                <w:bCs/>
                <w:color w:val="1E3A5F"/>
                <w:sz w:val="22"/>
                <w:szCs w:val="22"/>
              </w:rPr>
              <w:t xml:space="preserve">MSMEs with any insurance</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r>
              <w:rPr>
                <w:rFonts w:ascii="Arial" w:cs="Arial" w:eastAsia="Arial" w:hAnsi="Arial"/>
                <w:color w:val="1A1A2E"/>
                <w:sz w:val="22"/>
                <w:szCs w:val="22"/>
              </w:rPr>
              <w:t xml:space="preserve">~3% (IRDAI data)</w:t>
            </w:r>
          </w:p>
        </w:tc>
      </w:tr>
      <w:tr>
        <w:tc>
          <w:tcPr>
            <w:tcW w:type="dxa" w:w="3500"/>
            <w:tcBorders>
              <w:top w:val="single" w:color="CCCCCC" w:sz="1"/>
              <w:left w:val="single" w:color="CCCCCC" w:sz="1"/>
              <w:bottom w:val="single" w:color="CCCCCC" w:sz="1"/>
              <w:right w:val="single" w:color="CCCCCC" w:sz="1"/>
            </w:tcBorders>
            <w:shd w:fill="F2F4F6" w:val="clear"/>
            <w:tcMar>
              <w:top w:type="dxa" w:w="100"/>
              <w:left w:type="dxa" w:w="150"/>
              <w:bottom w:type="dxa" w:w="100"/>
              <w:right w:type="dxa" w:w="150"/>
            </w:tcMar>
            <w:vAlign w:val="top"/>
          </w:tcPr>
          <w:p>
            <w:r>
              <w:rPr>
                <w:rFonts w:ascii="Arial" w:cs="Arial" w:eastAsia="Arial" w:hAnsi="Arial"/>
                <w:b/>
                <w:bCs/>
                <w:color w:val="1E3A5F"/>
                <w:sz w:val="22"/>
                <w:szCs w:val="22"/>
              </w:rPr>
              <w:t xml:space="preserve">MSMEs with zero coverage (85%+ per IRDAI)</w:t>
            </w:r>
          </w:p>
        </w:tc>
        <w:tc>
          <w:tcPr>
            <w:tcW w:type="dxa" w:w="5860"/>
            <w:tcBorders>
              <w:top w:val="single" w:color="CCCCCC" w:sz="1"/>
              <w:left w:val="single" w:color="CCCCCC" w:sz="1"/>
              <w:bottom w:val="single" w:color="CCCCCC" w:sz="1"/>
              <w:right w:val="single" w:color="CCCCCC" w:sz="1"/>
            </w:tcBorders>
            <w:shd w:fill="F2F4F6" w:val="clear"/>
            <w:tcMar>
              <w:top w:type="dxa" w:w="100"/>
              <w:left w:type="dxa" w:w="150"/>
              <w:bottom w:type="dxa" w:w="100"/>
              <w:right w:type="dxa" w:w="150"/>
            </w:tcMar>
            <w:vAlign w:val="top"/>
          </w:tcPr>
          <w:p>
            <w:r>
              <w:rPr>
                <w:rFonts w:ascii="Arial" w:cs="Arial" w:eastAsia="Arial" w:hAnsi="Arial"/>
                <w:color w:val="1A1A2E"/>
                <w:sz w:val="22"/>
                <w:szCs w:val="22"/>
              </w:rPr>
              <w:t xml:space="preserve">~53 million businesses</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r>
              <w:rPr>
                <w:rFonts w:ascii="Arial" w:cs="Arial" w:eastAsia="Arial" w:hAnsi="Arial"/>
                <w:b/>
                <w:bCs/>
                <w:color w:val="1E3A5F"/>
                <w:sz w:val="22"/>
                <w:szCs w:val="22"/>
              </w:rPr>
              <w:t xml:space="preserve">Cyber insurance CAGR (India)</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r>
              <w:rPr>
                <w:rFonts w:ascii="Arial" w:cs="Arial" w:eastAsia="Arial" w:hAnsi="Arial"/>
                <w:color w:val="1A1A2E"/>
                <w:sz w:val="22"/>
                <w:szCs w:val="22"/>
              </w:rPr>
              <w:t xml:space="preserve">28.09% — $752M (2025) to $8.8B (2034)</w:t>
            </w:r>
          </w:p>
        </w:tc>
      </w:tr>
      <w:tr>
        <w:tc>
          <w:tcPr>
            <w:tcW w:type="dxa" w:w="3500"/>
            <w:tcBorders>
              <w:top w:val="single" w:color="CCCCCC" w:sz="1"/>
              <w:left w:val="single" w:color="CCCCCC" w:sz="1"/>
              <w:bottom w:val="single" w:color="CCCCCC" w:sz="1"/>
              <w:right w:val="single" w:color="CCCCCC" w:sz="1"/>
            </w:tcBorders>
            <w:shd w:fill="F2F4F6" w:val="clear"/>
            <w:tcMar>
              <w:top w:type="dxa" w:w="100"/>
              <w:left w:type="dxa" w:w="150"/>
              <w:bottom w:type="dxa" w:w="100"/>
              <w:right w:type="dxa" w:w="150"/>
            </w:tcMar>
            <w:vAlign w:val="top"/>
          </w:tcPr>
          <w:p>
            <w:r>
              <w:rPr>
                <w:rFonts w:ascii="Arial" w:cs="Arial" w:eastAsia="Arial" w:hAnsi="Arial"/>
                <w:b/>
                <w:bCs/>
                <w:color w:val="1E3A5F"/>
                <w:sz w:val="22"/>
                <w:szCs w:val="22"/>
              </w:rPr>
              <w:t xml:space="preserve">SME insurance market (India)</w:t>
            </w:r>
          </w:p>
        </w:tc>
        <w:tc>
          <w:tcPr>
            <w:tcW w:type="dxa" w:w="5860"/>
            <w:tcBorders>
              <w:top w:val="single" w:color="CCCCCC" w:sz="1"/>
              <w:left w:val="single" w:color="CCCCCC" w:sz="1"/>
              <w:bottom w:val="single" w:color="CCCCCC" w:sz="1"/>
              <w:right w:val="single" w:color="CCCCCC" w:sz="1"/>
            </w:tcBorders>
            <w:shd w:fill="F2F4F6" w:val="clear"/>
            <w:tcMar>
              <w:top w:type="dxa" w:w="100"/>
              <w:left w:type="dxa" w:w="150"/>
              <w:bottom w:type="dxa" w:w="100"/>
              <w:right w:type="dxa" w:w="150"/>
            </w:tcMar>
            <w:vAlign w:val="top"/>
          </w:tcPr>
          <w:p>
            <w:r>
              <w:rPr>
                <w:rFonts w:ascii="Arial" w:cs="Arial" w:eastAsia="Arial" w:hAnsi="Arial"/>
                <w:color w:val="1A1A2E"/>
                <w:sz w:val="22"/>
                <w:szCs w:val="22"/>
              </w:rPr>
              <w:t xml:space="preserve">Growing at 10%+ CAGR</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r>
              <w:rPr>
                <w:rFonts w:ascii="Arial" w:cs="Arial" w:eastAsia="Arial" w:hAnsi="Arial"/>
                <w:b/>
                <w:bCs/>
                <w:color w:val="1E3A5F"/>
                <w:sz w:val="22"/>
                <w:szCs w:val="22"/>
              </w:rPr>
              <w:t xml:space="preserve">Revenue of sub-₹10Cr MSME (typical)</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r>
              <w:rPr>
                <w:rFonts w:ascii="Arial" w:cs="Arial" w:eastAsia="Arial" w:hAnsi="Arial"/>
                <w:color w:val="1A1A2E"/>
                <w:sz w:val="22"/>
                <w:szCs w:val="22"/>
              </w:rPr>
              <w:t xml:space="preserve">₹50L–10Cr — underserved segment</w:t>
            </w:r>
          </w:p>
        </w:tc>
      </w:tr>
    </w:tbl>
    <w:p>
      <w:pPr>
        <w:spacing w:after="0" w:before="60"/>
      </w:pPr>
    </w:p>
    <w:p>
      <w:pPr>
        <w:pStyle w:val="Heading2"/>
        <w:spacing w:after="100" w:before="240"/>
      </w:pPr>
      <w:r>
        <w:rPr>
          <w:rFonts w:ascii="Arial" w:cs="Arial" w:eastAsia="Arial" w:hAnsi="Arial"/>
          <w:b/>
          <w:bCs/>
          <w:color w:val="2E86AB"/>
          <w:sz w:val="26"/>
          <w:szCs w:val="26"/>
        </w:rPr>
        <w:t xml:space="preserve">The Product</w:t>
      </w:r>
    </w:p>
    <w:p>
      <w:pPr>
        <w:spacing w:after="80" w:before="160"/>
      </w:pPr>
      <w:r>
        <w:rPr>
          <w:rFonts w:ascii="Arial" w:cs="Arial" w:eastAsia="Arial" w:hAnsi="Arial"/>
          <w:b/>
          <w:bCs/>
          <w:color w:val="1E3A5F"/>
          <w:sz w:val="22"/>
          <w:szCs w:val="22"/>
        </w:rPr>
        <w:t xml:space="preserve">Risk Audit (entry point)</w:t>
      </w:r>
    </w:p>
    <w:p>
      <w:pPr>
        <w:pStyle w:val="ListParagraph"/>
        <w:numPr>
          <w:ilvl w:val="0"/>
          <w:numId w:val="2"/>
        </w:numPr>
        <w:spacing w:after="40" w:before="40"/>
      </w:pPr>
      <w:r>
        <w:rPr>
          <w:rFonts w:ascii="Arial" w:cs="Arial" w:eastAsia="Arial" w:hAnsi="Arial"/>
          <w:color w:val="1A1A2E"/>
          <w:sz w:val="22"/>
          <w:szCs w:val="22"/>
        </w:rPr>
        <w:t xml:space="preserve">5-minute digital risk audit: sector, revenue, employee count, assets, distribution footprint</w:t>
      </w:r>
    </w:p>
    <w:p>
      <w:pPr>
        <w:pStyle w:val="ListParagraph"/>
        <w:numPr>
          <w:ilvl w:val="0"/>
          <w:numId w:val="2"/>
        </w:numPr>
        <w:spacing w:after="40" w:before="40"/>
      </w:pPr>
      <w:r>
        <w:rPr>
          <w:rFonts w:ascii="Arial" w:cs="Arial" w:eastAsia="Arial" w:hAnsi="Arial"/>
          <w:color w:val="1A1A2E"/>
          <w:sz w:val="22"/>
          <w:szCs w:val="22"/>
        </w:rPr>
        <w:t xml:space="preserve">Output: prioritized risk list + recommended coverage stack (e.g., fire + public liability + group health + key man life)</w:t>
      </w:r>
    </w:p>
    <w:p>
      <w:pPr>
        <w:pStyle w:val="ListParagraph"/>
        <w:numPr>
          <w:ilvl w:val="0"/>
          <w:numId w:val="2"/>
        </w:numPr>
        <w:spacing w:after="40" w:before="40"/>
      </w:pPr>
      <w:r>
        <w:rPr>
          <w:rFonts w:ascii="Arial" w:cs="Arial" w:eastAsia="Arial" w:hAnsi="Arial"/>
          <w:color w:val="1A1A2E"/>
          <w:sz w:val="22"/>
          <w:szCs w:val="22"/>
        </w:rPr>
        <w:t xml:space="preserve">Sector-specific templates: textile mill risks differ from pharma manufacturer risks differ from food processing differ from retail. These templates are the moat.</w:t>
      </w:r>
    </w:p>
    <w:p>
      <w:pPr>
        <w:spacing w:after="0" w:before="60"/>
      </w:pPr>
    </w:p>
    <w:p>
      <w:pPr>
        <w:spacing w:after="80" w:before="160"/>
      </w:pPr>
      <w:r>
        <w:rPr>
          <w:rFonts w:ascii="Arial" w:cs="Arial" w:eastAsia="Arial" w:hAnsi="Arial"/>
          <w:b/>
          <w:bCs/>
          <w:color w:val="1E3A5F"/>
          <w:sz w:val="22"/>
          <w:szCs w:val="22"/>
        </w:rPr>
        <w:t xml:space="preserve">Curated Insurer Match</w:t>
      </w:r>
    </w:p>
    <w:p>
      <w:pPr>
        <w:pStyle w:val="ListParagraph"/>
        <w:numPr>
          <w:ilvl w:val="0"/>
          <w:numId w:val="2"/>
        </w:numPr>
        <w:spacing w:after="40" w:before="40"/>
      </w:pPr>
      <w:r>
        <w:rPr>
          <w:rFonts w:ascii="Arial" w:cs="Arial" w:eastAsia="Arial" w:hAnsi="Arial"/>
          <w:color w:val="1A1A2E"/>
          <w:sz w:val="22"/>
          <w:szCs w:val="22"/>
        </w:rPr>
        <w:t xml:space="preserve">Match MSME risk profile to the right insurer and product — not a comparison widget, a recommendation with reasoning</w:t>
      </w:r>
    </w:p>
    <w:p>
      <w:pPr>
        <w:pStyle w:val="ListParagraph"/>
        <w:numPr>
          <w:ilvl w:val="0"/>
          <w:numId w:val="2"/>
        </w:numPr>
        <w:spacing w:after="40" w:before="40"/>
      </w:pPr>
      <w:r>
        <w:rPr>
          <w:rFonts w:ascii="Arial" w:cs="Arial" w:eastAsia="Arial" w:hAnsi="Arial"/>
          <w:color w:val="1A1A2E"/>
          <w:sz w:val="22"/>
          <w:szCs w:val="22"/>
        </w:rPr>
        <w:t xml:space="preserve">Integration with insurers that have MSME-specific products: New India, United India for property; HDFC ERGO and Bajaj Allianz for cyber and liability</w:t>
      </w:r>
    </w:p>
    <w:p>
      <w:pPr>
        <w:spacing w:after="0" w:before="60"/>
      </w:pPr>
    </w:p>
    <w:p>
      <w:pPr>
        <w:spacing w:after="80" w:before="160"/>
      </w:pPr>
      <w:r>
        <w:rPr>
          <w:rFonts w:ascii="Arial" w:cs="Arial" w:eastAsia="Arial" w:hAnsi="Arial"/>
          <w:b/>
          <w:bCs/>
          <w:color w:val="1E3A5F"/>
          <w:sz w:val="22"/>
          <w:szCs w:val="22"/>
        </w:rPr>
        <w:t xml:space="preserve">Annual Review &amp; Claims Support</w:t>
      </w:r>
    </w:p>
    <w:p>
      <w:pPr>
        <w:pStyle w:val="ListParagraph"/>
        <w:numPr>
          <w:ilvl w:val="0"/>
          <w:numId w:val="2"/>
        </w:numPr>
        <w:spacing w:after="40" w:before="40"/>
      </w:pPr>
      <w:r>
        <w:rPr>
          <w:rFonts w:ascii="Arial" w:cs="Arial" w:eastAsia="Arial" w:hAnsi="Arial"/>
          <w:color w:val="1A1A2E"/>
          <w:sz w:val="22"/>
          <w:szCs w:val="22"/>
        </w:rPr>
        <w:t xml:space="preserve">Trigger-based re-audit: new machinery, new employee batch, new warehouse, new export contract</w:t>
      </w:r>
    </w:p>
    <w:p>
      <w:pPr>
        <w:pStyle w:val="ListParagraph"/>
        <w:numPr>
          <w:ilvl w:val="0"/>
          <w:numId w:val="2"/>
        </w:numPr>
        <w:spacing w:after="40" w:before="40"/>
      </w:pPr>
      <w:r>
        <w:rPr>
          <w:rFonts w:ascii="Arial" w:cs="Arial" w:eastAsia="Arial" w:hAnsi="Arial"/>
          <w:color w:val="1A1A2E"/>
          <w:sz w:val="22"/>
          <w:szCs w:val="22"/>
        </w:rPr>
        <w:t xml:space="preserve">Claims support when a business event happens: fire claim documentation, liability dispute navigation, group health claim rejection</w:t>
      </w:r>
    </w:p>
    <w:p>
      <w:pPr>
        <w:spacing w:after="0" w:before="60"/>
      </w:pPr>
    </w:p>
    <w:p>
      <w:pPr>
        <w:pStyle w:val="Heading2"/>
        <w:spacing w:after="100" w:before="240"/>
      </w:pPr>
      <w:r>
        <w:rPr>
          <w:rFonts w:ascii="Arial" w:cs="Arial" w:eastAsia="Arial" w:hAnsi="Arial"/>
          <w:b/>
          <w:bCs/>
          <w:color w:val="2E86AB"/>
          <w:sz w:val="26"/>
          <w:szCs w:val="26"/>
        </w:rPr>
        <w:t xml:space="preserve">Revenue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F2F4F6" w:val="clear"/>
            <w:tcMar>
              <w:top w:type="dxa" w:w="100"/>
              <w:left w:type="dxa" w:w="150"/>
              <w:bottom w:type="dxa" w:w="100"/>
              <w:right w:type="dxa" w:w="150"/>
            </w:tcMar>
            <w:vAlign w:val="top"/>
          </w:tcPr>
          <w:p>
            <w:r>
              <w:rPr>
                <w:rFonts w:ascii="Arial" w:cs="Arial" w:eastAsia="Arial" w:hAnsi="Arial"/>
                <w:b/>
                <w:bCs/>
                <w:color w:val="1E3A5F"/>
                <w:sz w:val="22"/>
                <w:szCs w:val="22"/>
              </w:rPr>
              <w:t xml:space="preserve">Risk audit fee</w:t>
            </w:r>
          </w:p>
        </w:tc>
        <w:tc>
          <w:tcPr>
            <w:tcW w:type="dxa" w:w="5860"/>
            <w:tcBorders>
              <w:top w:val="single" w:color="CCCCCC" w:sz="1"/>
              <w:left w:val="single" w:color="CCCCCC" w:sz="1"/>
              <w:bottom w:val="single" w:color="CCCCCC" w:sz="1"/>
              <w:right w:val="single" w:color="CCCCCC" w:sz="1"/>
            </w:tcBorders>
            <w:shd w:fill="F2F4F6" w:val="clear"/>
            <w:tcMar>
              <w:top w:type="dxa" w:w="100"/>
              <w:left w:type="dxa" w:w="150"/>
              <w:bottom w:type="dxa" w:w="100"/>
              <w:right w:type="dxa" w:w="150"/>
            </w:tcMar>
            <w:vAlign w:val="top"/>
          </w:tcPr>
          <w:p>
            <w:r>
              <w:rPr>
                <w:rFonts w:ascii="Arial" w:cs="Arial" w:eastAsia="Arial" w:hAnsi="Arial"/>
                <w:color w:val="1A1A2E"/>
                <w:sz w:val="22"/>
                <w:szCs w:val="22"/>
              </w:rPr>
              <w:t xml:space="preserve">₹2,000–5,000 one-time (advisory, not just software)</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r>
              <w:rPr>
                <w:rFonts w:ascii="Arial" w:cs="Arial" w:eastAsia="Arial" w:hAnsi="Arial"/>
                <w:b/>
                <w:bCs/>
                <w:color w:val="1E3A5F"/>
                <w:sz w:val="22"/>
                <w:szCs w:val="22"/>
              </w:rPr>
              <w:t xml:space="preserve">Broker commission on placed policies</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r>
              <w:rPr>
                <w:rFonts w:ascii="Arial" w:cs="Arial" w:eastAsia="Arial" w:hAnsi="Arial"/>
                <w:color w:val="1A1A2E"/>
                <w:sz w:val="22"/>
                <w:szCs w:val="22"/>
              </w:rPr>
              <w:t xml:space="preserve">8–15% of premium (business insurance = higher premiums)</w:t>
            </w:r>
          </w:p>
        </w:tc>
      </w:tr>
      <w:tr>
        <w:tc>
          <w:tcPr>
            <w:tcW w:type="dxa" w:w="3500"/>
            <w:tcBorders>
              <w:top w:val="single" w:color="CCCCCC" w:sz="1"/>
              <w:left w:val="single" w:color="CCCCCC" w:sz="1"/>
              <w:bottom w:val="single" w:color="CCCCCC" w:sz="1"/>
              <w:right w:val="single" w:color="CCCCCC" w:sz="1"/>
            </w:tcBorders>
            <w:shd w:fill="F2F4F6" w:val="clear"/>
            <w:tcMar>
              <w:top w:type="dxa" w:w="100"/>
              <w:left w:type="dxa" w:w="150"/>
              <w:bottom w:type="dxa" w:w="100"/>
              <w:right w:type="dxa" w:w="150"/>
            </w:tcMar>
            <w:vAlign w:val="top"/>
          </w:tcPr>
          <w:p>
            <w:r>
              <w:rPr>
                <w:rFonts w:ascii="Arial" w:cs="Arial" w:eastAsia="Arial" w:hAnsi="Arial"/>
                <w:b/>
                <w:bCs/>
                <w:color w:val="1E3A5F"/>
                <w:sz w:val="22"/>
                <w:szCs w:val="22"/>
              </w:rPr>
              <w:t xml:space="preserve">Annual review subscription</w:t>
            </w:r>
          </w:p>
        </w:tc>
        <w:tc>
          <w:tcPr>
            <w:tcW w:type="dxa" w:w="5860"/>
            <w:tcBorders>
              <w:top w:val="single" w:color="CCCCCC" w:sz="1"/>
              <w:left w:val="single" w:color="CCCCCC" w:sz="1"/>
              <w:bottom w:val="single" w:color="CCCCCC" w:sz="1"/>
              <w:right w:val="single" w:color="CCCCCC" w:sz="1"/>
            </w:tcBorders>
            <w:shd w:fill="F2F4F6" w:val="clear"/>
            <w:tcMar>
              <w:top w:type="dxa" w:w="100"/>
              <w:left w:type="dxa" w:w="150"/>
              <w:bottom w:type="dxa" w:w="100"/>
              <w:right w:type="dxa" w:w="150"/>
            </w:tcMar>
            <w:vAlign w:val="top"/>
          </w:tcPr>
          <w:p>
            <w:r>
              <w:rPr>
                <w:rFonts w:ascii="Arial" w:cs="Arial" w:eastAsia="Arial" w:hAnsi="Arial"/>
                <w:color w:val="1A1A2E"/>
                <w:sz w:val="22"/>
                <w:szCs w:val="22"/>
              </w:rPr>
              <w:t xml:space="preserve">₹5,000–15,000/year depending on complexity</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r>
              <w:rPr>
                <w:rFonts w:ascii="Arial" w:cs="Arial" w:eastAsia="Arial" w:hAnsi="Arial"/>
                <w:b/>
                <w:bCs/>
                <w:color w:val="1E3A5F"/>
                <w:sz w:val="22"/>
                <w:szCs w:val="22"/>
              </w:rPr>
              <w:t xml:space="preserve">Claims support retainer</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r>
              <w:rPr>
                <w:rFonts w:ascii="Arial" w:cs="Arial" w:eastAsia="Arial" w:hAnsi="Arial"/>
                <w:color w:val="1A1A2E"/>
                <w:sz w:val="22"/>
                <w:szCs w:val="22"/>
              </w:rPr>
              <w:t xml:space="preserve">₹10,000–50,000/case</w:t>
            </w:r>
          </w:p>
        </w:tc>
      </w:tr>
      <w:tr>
        <w:tc>
          <w:tcPr>
            <w:tcW w:type="dxa" w:w="3500"/>
            <w:tcBorders>
              <w:top w:val="single" w:color="CCCCCC" w:sz="1"/>
              <w:left w:val="single" w:color="CCCCCC" w:sz="1"/>
              <w:bottom w:val="single" w:color="CCCCCC" w:sz="1"/>
              <w:right w:val="single" w:color="CCCCCC" w:sz="1"/>
            </w:tcBorders>
            <w:shd w:fill="F2F4F6" w:val="clear"/>
            <w:tcMar>
              <w:top w:type="dxa" w:w="100"/>
              <w:left w:type="dxa" w:w="150"/>
              <w:bottom w:type="dxa" w:w="100"/>
              <w:right w:type="dxa" w:w="150"/>
            </w:tcMar>
            <w:vAlign w:val="top"/>
          </w:tcPr>
          <w:p>
            <w:r>
              <w:rPr>
                <w:rFonts w:ascii="Arial" w:cs="Arial" w:eastAsia="Arial" w:hAnsi="Arial"/>
                <w:b/>
                <w:bCs/>
                <w:color w:val="1E3A5F"/>
                <w:sz w:val="22"/>
                <w:szCs w:val="22"/>
              </w:rPr>
              <w:t xml:space="preserve">Insurer referral partnership</w:t>
            </w:r>
          </w:p>
        </w:tc>
        <w:tc>
          <w:tcPr>
            <w:tcW w:type="dxa" w:w="5860"/>
            <w:tcBorders>
              <w:top w:val="single" w:color="CCCCCC" w:sz="1"/>
              <w:left w:val="single" w:color="CCCCCC" w:sz="1"/>
              <w:bottom w:val="single" w:color="CCCCCC" w:sz="1"/>
              <w:right w:val="single" w:color="CCCCCC" w:sz="1"/>
            </w:tcBorders>
            <w:shd w:fill="F2F4F6" w:val="clear"/>
            <w:tcMar>
              <w:top w:type="dxa" w:w="100"/>
              <w:left w:type="dxa" w:w="150"/>
              <w:bottom w:type="dxa" w:w="100"/>
              <w:right w:type="dxa" w:w="150"/>
            </w:tcMar>
            <w:vAlign w:val="top"/>
          </w:tcPr>
          <w:p>
            <w:r>
              <w:rPr>
                <w:rFonts w:ascii="Arial" w:cs="Arial" w:eastAsia="Arial" w:hAnsi="Arial"/>
                <w:color w:val="1A1A2E"/>
                <w:sz w:val="22"/>
                <w:szCs w:val="22"/>
              </w:rPr>
              <w:t xml:space="preserve">Volume-based bonus for MSME segment penetration</w:t>
            </w:r>
          </w:p>
        </w:tc>
      </w:tr>
    </w:tbl>
    <w:p>
      <w:pPr>
        <w:spacing w:after="0" w:before="60"/>
      </w:pPr>
    </w:p>
    <w:p>
      <w:pPr>
        <w:spacing w:after="60" w:before="60"/>
      </w:pPr>
      <w:r>
        <w:rPr>
          <w:rFonts w:ascii="Arial" w:cs="Arial" w:eastAsia="Arial" w:hAnsi="Arial"/>
          <w:color w:val="1A1A2E"/>
          <w:sz w:val="22"/>
          <w:szCs w:val="22"/>
        </w:rPr>
        <w:t xml:space="preserve">Revenue illustration: MSME with 50 employees, ₹5Cr revenue. Group health (₹20L premium) + fire (₹8L) + cyber (₹5L) = ₹33L total premium. At 12% commission = ₹4L per client per year.</w:t>
      </w:r>
    </w:p>
    <w:p>
      <w:pPr>
        <w:spacing w:after="0" w:before="60"/>
      </w:pPr>
    </w:p>
    <w:p>
      <w:pPr>
        <w:pStyle w:val="Heading2"/>
        <w:spacing w:after="100" w:before="240"/>
      </w:pPr>
      <w:r>
        <w:rPr>
          <w:rFonts w:ascii="Arial" w:cs="Arial" w:eastAsia="Arial" w:hAnsi="Arial"/>
          <w:b/>
          <w:bCs/>
          <w:color w:val="2E86AB"/>
          <w:sz w:val="26"/>
          <w:szCs w:val="26"/>
        </w:rPr>
        <w:t xml:space="preserve">Competitive Moat</w:t>
      </w:r>
    </w:p>
    <w:p>
      <w:pPr>
        <w:pStyle w:val="ListParagraph"/>
        <w:numPr>
          <w:ilvl w:val="0"/>
          <w:numId w:val="2"/>
        </w:numPr>
        <w:spacing w:after="40" w:before="40"/>
      </w:pPr>
      <w:r>
        <w:rPr>
          <w:rFonts w:ascii="Arial" w:cs="Arial" w:eastAsia="Arial" w:hAnsi="Arial"/>
          <w:color w:val="1A1A2E"/>
          <w:sz w:val="22"/>
          <w:szCs w:val="22"/>
        </w:rPr>
        <w:t xml:space="preserve">Sector-specific risk templates: building the textile mill risk profile, pharma risk profile, food processing risk profile takes 12–18 months of fieldwork. Once built, it is a defensible proprietary database.</w:t>
      </w:r>
    </w:p>
    <w:p>
      <w:pPr>
        <w:pStyle w:val="ListParagraph"/>
        <w:numPr>
          <w:ilvl w:val="0"/>
          <w:numId w:val="2"/>
        </w:numPr>
        <w:spacing w:after="40" w:before="40"/>
      </w:pPr>
      <w:r>
        <w:rPr>
          <w:rFonts w:ascii="Arial" w:cs="Arial" w:eastAsia="Arial" w:hAnsi="Arial"/>
          <w:color w:val="1A1A2E"/>
          <w:sz w:val="22"/>
          <w:szCs w:val="22"/>
        </w:rPr>
        <w:t xml:space="preserve">Relationship moat: MSME insurance is renewed annually. A trusted advisor relationship (advisor knows the business, the owner trusts the advisor) has 80%+ renewal. No aggregator can replicate this.</w:t>
      </w:r>
    </w:p>
    <w:p>
      <w:pPr>
        <w:pStyle w:val="ListParagraph"/>
        <w:numPr>
          <w:ilvl w:val="0"/>
          <w:numId w:val="2"/>
        </w:numPr>
        <w:spacing w:after="40" w:before="40"/>
      </w:pPr>
      <w:r>
        <w:rPr>
          <w:rFonts w:ascii="Arial" w:cs="Arial" w:eastAsia="Arial" w:hAnsi="Arial"/>
          <w:color w:val="1A1A2E"/>
          <w:sz w:val="22"/>
          <w:szCs w:val="22"/>
        </w:rPr>
        <w:t xml:space="preserve">Cyber insurance wave: every MSME is being pushed toward digital payments, GST filing, and e-commerce. Cyber exposure is growing faster than awareness. Being the first MSME-specific cyber insurance navigator is a 3-year window.</w:t>
      </w:r>
    </w:p>
    <w:p>
      <w:pPr>
        <w:spacing w:after="0" w:before="60"/>
      </w:pPr>
    </w:p>
    <w:p>
      <w:pPr>
        <w:pStyle w:val="Heading2"/>
        <w:spacing w:after="100" w:before="240"/>
      </w:pPr>
      <w:r>
        <w:rPr>
          <w:rFonts w:ascii="Arial" w:cs="Arial" w:eastAsia="Arial" w:hAnsi="Arial"/>
          <w:b/>
          <w:bCs/>
          <w:color w:val="2E86AB"/>
          <w:sz w:val="26"/>
          <w:szCs w:val="26"/>
        </w:rPr>
        <w:t xml:space="preserve">Risks &amp; Mitigations</w:t>
      </w:r>
    </w:p>
    <w:p>
      <w:pPr>
        <w:pStyle w:val="ListParagraph"/>
        <w:numPr>
          <w:ilvl w:val="0"/>
          <w:numId w:val="2"/>
        </w:numPr>
        <w:spacing w:after="40" w:before="40"/>
      </w:pPr>
      <w:r>
        <w:rPr>
          <w:rFonts w:ascii="Arial" w:cs="Arial" w:eastAsia="Arial" w:hAnsi="Arial"/>
          <w:color w:val="1A1A2E"/>
          <w:sz w:val="22"/>
          <w:szCs w:val="22"/>
        </w:rPr>
        <w:t xml:space="preserve">High touch required: MSME owners need a human advisor, not just a digital tool. Unit economics must include advisor cost.</w:t>
      </w:r>
    </w:p>
    <w:p>
      <w:pPr>
        <w:pStyle w:val="ListParagraph"/>
        <w:numPr>
          <w:ilvl w:val="0"/>
          <w:numId w:val="2"/>
        </w:numPr>
        <w:spacing w:after="40" w:before="40"/>
      </w:pPr>
      <w:r>
        <w:rPr>
          <w:rFonts w:ascii="Arial" w:cs="Arial" w:eastAsia="Arial" w:hAnsi="Arial"/>
          <w:color w:val="1A1A2E"/>
          <w:sz w:val="22"/>
          <w:szCs w:val="22"/>
        </w:rPr>
        <w:t xml:space="preserve">Claim complexity: business insurance claims (fire loss, liability suit) are significantly more complex than health claims. Need specialist claim support partners from Month 6.</w:t>
      </w:r>
    </w:p>
    <w:p>
      <w:pPr>
        <w:pStyle w:val="ListParagraph"/>
        <w:numPr>
          <w:ilvl w:val="0"/>
          <w:numId w:val="2"/>
        </w:numPr>
        <w:spacing w:after="40" w:before="40"/>
      </w:pPr>
      <w:r>
        <w:rPr>
          <w:rFonts w:ascii="Arial" w:cs="Arial" w:eastAsia="Arial" w:hAnsi="Arial"/>
          <w:color w:val="1A1A2E"/>
          <w:sz w:val="22"/>
          <w:szCs w:val="22"/>
        </w:rPr>
        <w:t xml:space="preserve">Regulatory: need composite broker or corporate agent license for multi-insurer MSME placement. Insurance Samadhan-style approach won't work here.</w:t>
      </w:r>
    </w:p>
    <w:p>
      <w:pPr>
        <w:spacing w:after="0" w:before="60"/>
      </w:pPr>
    </w:p>
    <w:p>
      <w:pPr>
        <w:pStyle w:val="Heading2"/>
        <w:spacing w:after="100" w:before="240"/>
      </w:pPr>
      <w:r>
        <w:rPr>
          <w:rFonts w:ascii="Arial" w:cs="Arial" w:eastAsia="Arial" w:hAnsi="Arial"/>
          <w:b/>
          <w:bCs/>
          <w:color w:val="2E86AB"/>
          <w:sz w:val="26"/>
          <w:szCs w:val="26"/>
        </w:rPr>
        <w:t xml:space="preserve">Key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F2F4F6" w:val="clear"/>
            <w:tcMar>
              <w:top w:type="dxa" w:w="100"/>
              <w:left w:type="dxa" w:w="150"/>
              <w:bottom w:type="dxa" w:w="100"/>
              <w:right w:type="dxa" w:w="150"/>
            </w:tcMar>
            <w:vAlign w:val="top"/>
          </w:tcPr>
          <w:p>
            <w:r>
              <w:rPr>
                <w:rFonts w:ascii="Arial" w:cs="Arial" w:eastAsia="Arial" w:hAnsi="Arial"/>
                <w:b/>
                <w:bCs/>
                <w:color w:val="1E3A5F"/>
                <w:sz w:val="22"/>
                <w:szCs w:val="22"/>
              </w:rPr>
              <w:t xml:space="preserve">Month 3 target</w:t>
            </w:r>
          </w:p>
        </w:tc>
        <w:tc>
          <w:tcPr>
            <w:tcW w:type="dxa" w:w="5860"/>
            <w:tcBorders>
              <w:top w:val="single" w:color="CCCCCC" w:sz="1"/>
              <w:left w:val="single" w:color="CCCCCC" w:sz="1"/>
              <w:bottom w:val="single" w:color="CCCCCC" w:sz="1"/>
              <w:right w:val="single" w:color="CCCCCC" w:sz="1"/>
            </w:tcBorders>
            <w:shd w:fill="F2F4F6" w:val="clear"/>
            <w:tcMar>
              <w:top w:type="dxa" w:w="100"/>
              <w:left w:type="dxa" w:w="150"/>
              <w:bottom w:type="dxa" w:w="100"/>
              <w:right w:type="dxa" w:w="150"/>
            </w:tcMar>
            <w:vAlign w:val="top"/>
          </w:tcPr>
          <w:p>
            <w:r>
              <w:rPr>
                <w:rFonts w:ascii="Arial" w:cs="Arial" w:eastAsia="Arial" w:hAnsi="Arial"/>
                <w:color w:val="1A1A2E"/>
                <w:sz w:val="22"/>
                <w:szCs w:val="22"/>
              </w:rPr>
              <w:t xml:space="preserve">50 MSME risk audits completed. 10 policies placed.</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r>
              <w:rPr>
                <w:rFonts w:ascii="Arial" w:cs="Arial" w:eastAsia="Arial" w:hAnsi="Arial"/>
                <w:b/>
                <w:bCs/>
                <w:color w:val="1E3A5F"/>
                <w:sz w:val="22"/>
                <w:szCs w:val="22"/>
              </w:rPr>
              <w:t xml:space="preserve">Month 6 MRR target</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r>
              <w:rPr>
                <w:rFonts w:ascii="Arial" w:cs="Arial" w:eastAsia="Arial" w:hAnsi="Arial"/>
                <w:color w:val="1A1A2E"/>
                <w:sz w:val="22"/>
                <w:szCs w:val="22"/>
              </w:rPr>
              <w:t xml:space="preserve">₹12L (30 policies placed/month × avg ₹40K commission)</w:t>
            </w:r>
          </w:p>
        </w:tc>
      </w:tr>
      <w:tr>
        <w:tc>
          <w:tcPr>
            <w:tcW w:type="dxa" w:w="3500"/>
            <w:tcBorders>
              <w:top w:val="single" w:color="CCCCCC" w:sz="1"/>
              <w:left w:val="single" w:color="CCCCCC" w:sz="1"/>
              <w:bottom w:val="single" w:color="CCCCCC" w:sz="1"/>
              <w:right w:val="single" w:color="CCCCCC" w:sz="1"/>
            </w:tcBorders>
            <w:shd w:fill="F2F4F6" w:val="clear"/>
            <w:tcMar>
              <w:top w:type="dxa" w:w="100"/>
              <w:left w:type="dxa" w:w="150"/>
              <w:bottom w:type="dxa" w:w="100"/>
              <w:right w:type="dxa" w:w="150"/>
            </w:tcMar>
            <w:vAlign w:val="top"/>
          </w:tcPr>
          <w:p>
            <w:r>
              <w:rPr>
                <w:rFonts w:ascii="Arial" w:cs="Arial" w:eastAsia="Arial" w:hAnsi="Arial"/>
                <w:b/>
                <w:bCs/>
                <w:color w:val="1E3A5F"/>
                <w:sz w:val="22"/>
                <w:szCs w:val="22"/>
              </w:rPr>
              <w:t xml:space="preserve">Month 12 MRR target</w:t>
            </w:r>
          </w:p>
        </w:tc>
        <w:tc>
          <w:tcPr>
            <w:tcW w:type="dxa" w:w="5860"/>
            <w:tcBorders>
              <w:top w:val="single" w:color="CCCCCC" w:sz="1"/>
              <w:left w:val="single" w:color="CCCCCC" w:sz="1"/>
              <w:bottom w:val="single" w:color="CCCCCC" w:sz="1"/>
              <w:right w:val="single" w:color="CCCCCC" w:sz="1"/>
            </w:tcBorders>
            <w:shd w:fill="F2F4F6" w:val="clear"/>
            <w:tcMar>
              <w:top w:type="dxa" w:w="100"/>
              <w:left w:type="dxa" w:w="150"/>
              <w:bottom w:type="dxa" w:w="100"/>
              <w:right w:type="dxa" w:w="150"/>
            </w:tcMar>
            <w:vAlign w:val="top"/>
          </w:tcPr>
          <w:p>
            <w:r>
              <w:rPr>
                <w:rFonts w:ascii="Arial" w:cs="Arial" w:eastAsia="Arial" w:hAnsi="Arial"/>
                <w:color w:val="1A1A2E"/>
                <w:sz w:val="22"/>
                <w:szCs w:val="22"/>
              </w:rPr>
              <w:t xml:space="preserve">₹50L (100 policies/month + review subscriptions)</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r>
              <w:rPr>
                <w:rFonts w:ascii="Arial" w:cs="Arial" w:eastAsia="Arial" w:hAnsi="Arial"/>
                <w:b/>
                <w:bCs/>
                <w:color w:val="1E3A5F"/>
                <w:sz w:val="22"/>
                <w:szCs w:val="22"/>
              </w:rPr>
              <w:t xml:space="preserve">North Star</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r>
              <w:rPr>
                <w:rFonts w:ascii="Arial" w:cs="Arial" w:eastAsia="Arial" w:hAnsi="Arial"/>
                <w:color w:val="1A1A2E"/>
                <w:sz w:val="22"/>
                <w:szCs w:val="22"/>
              </w:rPr>
              <w:t xml:space="preserve">Premium placed per MSME client (target ₹3L+/client/year)</w:t>
            </w:r>
          </w:p>
        </w:tc>
      </w:tr>
    </w:tbl>
    <w:p>
      <w:pPr>
        <w:spacing w:after="0" w:before="60"/>
      </w:pPr>
    </w:p>
    <w:p>
      <w:pPr>
        <w:pStyle w:val="Heading2"/>
        <w:spacing w:after="100" w:before="240"/>
      </w:pPr>
      <w:r>
        <w:rPr>
          <w:rFonts w:ascii="Arial" w:cs="Arial" w:eastAsia="Arial" w:hAnsi="Arial"/>
          <w:b/>
          <w:bCs/>
          <w:color w:val="2E86AB"/>
          <w:sz w:val="26"/>
          <w:szCs w:val="26"/>
        </w:rPr>
        <w:t xml:space="preserve">First 90 Days</w:t>
      </w:r>
    </w:p>
    <w:p>
      <w:pPr>
        <w:pStyle w:val="ListParagraph"/>
        <w:numPr>
          <w:ilvl w:val="0"/>
          <w:numId w:val="2"/>
        </w:numPr>
        <w:spacing w:after="40" w:before="40"/>
      </w:pPr>
      <w:r>
        <w:rPr>
          <w:rFonts w:ascii="Arial" w:cs="Arial" w:eastAsia="Arial" w:hAnsi="Arial"/>
          <w:color w:val="1A1A2E"/>
          <w:sz w:val="22"/>
          <w:szCs w:val="22"/>
        </w:rPr>
        <w:t xml:space="preserve">Days 1–30: Build textile and retail sector risk templates. Do 10 free MSME risk audits from personal network. Document every risk finding.</w:t>
      </w:r>
    </w:p>
    <w:p>
      <w:pPr>
        <w:pStyle w:val="ListParagraph"/>
        <w:numPr>
          <w:ilvl w:val="0"/>
          <w:numId w:val="2"/>
        </w:numPr>
        <w:spacing w:after="40" w:before="40"/>
      </w:pPr>
      <w:r>
        <w:rPr>
          <w:rFonts w:ascii="Arial" w:cs="Arial" w:eastAsia="Arial" w:hAnsi="Arial"/>
          <w:color w:val="1A1A2E"/>
          <w:sz w:val="22"/>
          <w:szCs w:val="22"/>
        </w:rPr>
        <w:t xml:space="preserve">Days 31–60: Launch ₹2,000 paid risk audit. Partner with 2 MSME associations in Bengaluru/Mumbai for referrals. Place first 5 policies.</w:t>
      </w:r>
    </w:p>
    <w:p>
      <w:pPr>
        <w:pStyle w:val="ListParagraph"/>
        <w:numPr>
          <w:ilvl w:val="0"/>
          <w:numId w:val="2"/>
        </w:numPr>
        <w:spacing w:after="40" w:before="40"/>
      </w:pPr>
      <w:r>
        <w:rPr>
          <w:rFonts w:ascii="Arial" w:cs="Arial" w:eastAsia="Arial" w:hAnsi="Arial"/>
          <w:color w:val="1A1A2E"/>
          <w:sz w:val="22"/>
          <w:szCs w:val="22"/>
        </w:rPr>
        <w:t xml:space="preserve">Days 61–90: Build pharma and food processing templates. Hire first MSME-specialist advisor. Sign 1 insurer volume partnership for MSME segment.</w:t>
      </w:r>
    </w:p>
    <w:p>
      <w:pPr>
        <w:pBdr>
          <w:bottom w:val="single" w:color="2E86AB" w:sz="4" w:space="1"/>
        </w:pBdr>
        <w:spacing w:after="120" w:before="120"/>
      </w:pPr>
    </w:p>
    <w:p>
      <w:r>
        <w:br w:type="page"/>
      </w:r>
    </w:p>
    <w:p>
      <w:pPr>
        <w:spacing w:after="120" w:before="0"/>
      </w:pPr>
      <w:r>
        <w:rPr>
          <w:rFonts w:ascii="Arial" w:cs="Arial" w:eastAsia="Arial" w:hAnsi="Arial"/>
          <w:b/>
          <w:bCs/>
          <w:color w:val="2E86AB"/>
          <w:sz w:val="36"/>
          <w:szCs w:val="36"/>
        </w:rPr>
        <w:t xml:space="preserve">Idea 7  </w:t>
      </w:r>
      <w:r>
        <w:rPr>
          <w:rFonts w:ascii="Arial" w:cs="Arial" w:eastAsia="Arial" w:hAnsi="Arial"/>
          <w:b/>
          <w:bCs/>
          <w:color w:val="1E3A5F"/>
          <w:sz w:val="36"/>
          <w:szCs w:val="36"/>
        </w:rPr>
        <w:t xml:space="preserve">Senior Citizen Protection Portal</w:t>
      </w:r>
    </w:p>
    <w:p>
      <w:pPr>
        <w:spacing w:after="240" w:before="0"/>
      </w:pPr>
      <w:r>
        <w:rPr>
          <w:rFonts w:ascii="Arial" w:cs="Arial" w:eastAsia="Arial" w:hAnsi="Arial"/>
          <w:i/>
          <w:iCs/>
          <w:color w:val="555555"/>
          <w:sz w:val="24"/>
          <w:szCs w:val="24"/>
        </w:rPr>
        <w:t xml:space="preserve">"India's elderly are being systematically mis-sold. Their adult children are the buyer."</w:t>
      </w:r>
    </w:p>
    <w:p>
      <w:pPr>
        <w:pStyle w:val="Heading2"/>
        <w:spacing w:after="100" w:before="240"/>
      </w:pPr>
      <w:r>
        <w:rPr>
          <w:rFonts w:ascii="Arial" w:cs="Arial" w:eastAsia="Arial" w:hAnsi="Arial"/>
          <w:b/>
          <w:bCs/>
          <w:color w:val="2E86AB"/>
          <w:sz w:val="26"/>
          <w:szCs w:val="26"/>
        </w:rPr>
        <w:t xml:space="preserve">The Problem</w:t>
      </w:r>
    </w:p>
    <w:p>
      <w:pPr>
        <w:spacing w:after="60" w:before="60"/>
      </w:pPr>
      <w:r>
        <w:rPr>
          <w:rFonts w:ascii="Arial" w:cs="Arial" w:eastAsia="Arial" w:hAnsi="Arial"/>
          <w:color w:val="1A1A2E"/>
          <w:sz w:val="22"/>
          <w:szCs w:val="22"/>
        </w:rPr>
        <w:t xml:space="preserve">Senior citizens are the most systematically targeted and most vulnerable segment in Indian insurance. Bank relationship managers sell ULIPs as 'special FDs' to elderly customers who visit branches to renew fixed deposits. They sign proposal forms without understanding they're buying market-linked products with 5-year lock-in periods. Banks earn up to 65% of the first-year premium as commission on traditional plans — a structural incentive misalignment.</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F2F4F6" w:val="clear"/>
            <w:tcMar>
              <w:top w:type="dxa" w:w="100"/>
              <w:left w:type="dxa" w:w="150"/>
              <w:bottom w:type="dxa" w:w="100"/>
              <w:right w:type="dxa" w:w="150"/>
            </w:tcMar>
            <w:vAlign w:val="top"/>
          </w:tcPr>
          <w:p>
            <w:r>
              <w:rPr>
                <w:rFonts w:ascii="Arial" w:cs="Arial" w:eastAsia="Arial" w:hAnsi="Arial"/>
                <w:b/>
                <w:bCs/>
                <w:color w:val="1E3A5F"/>
                <w:sz w:val="22"/>
                <w:szCs w:val="22"/>
              </w:rPr>
              <w:t xml:space="preserve">Bank commission on ULIP (Year 1)</w:t>
            </w:r>
          </w:p>
        </w:tc>
        <w:tc>
          <w:tcPr>
            <w:tcW w:type="dxa" w:w="5860"/>
            <w:tcBorders>
              <w:top w:val="single" w:color="CCCCCC" w:sz="1"/>
              <w:left w:val="single" w:color="CCCCCC" w:sz="1"/>
              <w:bottom w:val="single" w:color="CCCCCC" w:sz="1"/>
              <w:right w:val="single" w:color="CCCCCC" w:sz="1"/>
            </w:tcBorders>
            <w:shd w:fill="F2F4F6" w:val="clear"/>
            <w:tcMar>
              <w:top w:type="dxa" w:w="100"/>
              <w:left w:type="dxa" w:w="150"/>
              <w:bottom w:type="dxa" w:w="100"/>
              <w:right w:type="dxa" w:w="150"/>
            </w:tcMar>
            <w:vAlign w:val="top"/>
          </w:tcPr>
          <w:p>
            <w:r>
              <w:rPr>
                <w:rFonts w:ascii="Arial" w:cs="Arial" w:eastAsia="Arial" w:hAnsi="Arial"/>
                <w:color w:val="1A1A2E"/>
                <w:sz w:val="22"/>
                <w:szCs w:val="22"/>
              </w:rPr>
              <w:t xml:space="preserve">Up to 65% of first-year premium</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r>
              <w:rPr>
                <w:rFonts w:ascii="Arial" w:cs="Arial" w:eastAsia="Arial" w:hAnsi="Arial"/>
                <w:b/>
                <w:bCs/>
                <w:color w:val="1E3A5F"/>
                <w:sz w:val="22"/>
                <w:szCs w:val="22"/>
              </w:rPr>
              <w:t xml:space="preserve">Bank commission on mutual fund</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r>
              <w:rPr>
                <w:rFonts w:ascii="Arial" w:cs="Arial" w:eastAsia="Arial" w:hAnsi="Arial"/>
                <w:color w:val="1A1A2E"/>
                <w:sz w:val="22"/>
                <w:szCs w:val="22"/>
              </w:rPr>
              <w:t xml:space="preserve">~1% annually — no upfront</w:t>
            </w:r>
          </w:p>
        </w:tc>
      </w:tr>
      <w:tr>
        <w:tc>
          <w:tcPr>
            <w:tcW w:type="dxa" w:w="3500"/>
            <w:tcBorders>
              <w:top w:val="single" w:color="CCCCCC" w:sz="1"/>
              <w:left w:val="single" w:color="CCCCCC" w:sz="1"/>
              <w:bottom w:val="single" w:color="CCCCCC" w:sz="1"/>
              <w:right w:val="single" w:color="CCCCCC" w:sz="1"/>
            </w:tcBorders>
            <w:shd w:fill="F2F4F6" w:val="clear"/>
            <w:tcMar>
              <w:top w:type="dxa" w:w="100"/>
              <w:left w:type="dxa" w:w="150"/>
              <w:bottom w:type="dxa" w:w="100"/>
              <w:right w:type="dxa" w:w="150"/>
            </w:tcMar>
            <w:vAlign w:val="top"/>
          </w:tcPr>
          <w:p>
            <w:r>
              <w:rPr>
                <w:rFonts w:ascii="Arial" w:cs="Arial" w:eastAsia="Arial" w:hAnsi="Arial"/>
                <w:b/>
                <w:bCs/>
                <w:color w:val="1E3A5F"/>
                <w:sz w:val="22"/>
                <w:szCs w:val="22"/>
              </w:rPr>
              <w:t xml:space="preserve">Senior citizens auto-entitled to PM-JAY</w:t>
            </w:r>
          </w:p>
        </w:tc>
        <w:tc>
          <w:tcPr>
            <w:tcW w:type="dxa" w:w="5860"/>
            <w:tcBorders>
              <w:top w:val="single" w:color="CCCCCC" w:sz="1"/>
              <w:left w:val="single" w:color="CCCCCC" w:sz="1"/>
              <w:bottom w:val="single" w:color="CCCCCC" w:sz="1"/>
              <w:right w:val="single" w:color="CCCCCC" w:sz="1"/>
            </w:tcBorders>
            <w:shd w:fill="F2F4F6" w:val="clear"/>
            <w:tcMar>
              <w:top w:type="dxa" w:w="100"/>
              <w:left w:type="dxa" w:w="150"/>
              <w:bottom w:type="dxa" w:w="100"/>
              <w:right w:type="dxa" w:w="150"/>
            </w:tcMar>
            <w:vAlign w:val="top"/>
          </w:tcPr>
          <w:p>
            <w:r>
              <w:rPr>
                <w:rFonts w:ascii="Arial" w:cs="Arial" w:eastAsia="Arial" w:hAnsi="Arial"/>
                <w:color w:val="1A1A2E"/>
                <w:sz w:val="22"/>
                <w:szCs w:val="22"/>
              </w:rPr>
              <w:t xml:space="preserve">All 70+ since October 2024</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r>
              <w:rPr>
                <w:rFonts w:ascii="Arial" w:cs="Arial" w:eastAsia="Arial" w:hAnsi="Arial"/>
                <w:b/>
                <w:bCs/>
                <w:color w:val="1E3A5F"/>
                <w:sz w:val="22"/>
                <w:szCs w:val="22"/>
              </w:rPr>
              <w:t xml:space="preserve">Health insurance premium cap for seniors</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r>
              <w:rPr>
                <w:rFonts w:ascii="Arial" w:cs="Arial" w:eastAsia="Arial" w:hAnsi="Arial"/>
                <w:color w:val="1A1A2E"/>
                <w:sz w:val="22"/>
                <w:szCs w:val="22"/>
              </w:rPr>
              <w:t xml:space="preserve">10% annual increase cap (IRDAI Jan 2025)</w:t>
            </w:r>
          </w:p>
        </w:tc>
      </w:tr>
      <w:tr>
        <w:tc>
          <w:tcPr>
            <w:tcW w:type="dxa" w:w="3500"/>
            <w:tcBorders>
              <w:top w:val="single" w:color="CCCCCC" w:sz="1"/>
              <w:left w:val="single" w:color="CCCCCC" w:sz="1"/>
              <w:bottom w:val="single" w:color="CCCCCC" w:sz="1"/>
              <w:right w:val="single" w:color="CCCCCC" w:sz="1"/>
            </w:tcBorders>
            <w:shd w:fill="F2F4F6" w:val="clear"/>
            <w:tcMar>
              <w:top w:type="dxa" w:w="100"/>
              <w:left w:type="dxa" w:w="150"/>
              <w:bottom w:type="dxa" w:w="100"/>
              <w:right w:type="dxa" w:w="150"/>
            </w:tcMar>
            <w:vAlign w:val="top"/>
          </w:tcPr>
          <w:p>
            <w:r>
              <w:rPr>
                <w:rFonts w:ascii="Arial" w:cs="Arial" w:eastAsia="Arial" w:hAnsi="Arial"/>
                <w:b/>
                <w:bCs/>
                <w:color w:val="1E3A5F"/>
                <w:sz w:val="22"/>
                <w:szCs w:val="22"/>
              </w:rPr>
              <w:t xml:space="preserve">Primary mis-selling victim</w:t>
            </w:r>
          </w:p>
        </w:tc>
        <w:tc>
          <w:tcPr>
            <w:tcW w:type="dxa" w:w="5860"/>
            <w:tcBorders>
              <w:top w:val="single" w:color="CCCCCC" w:sz="1"/>
              <w:left w:val="single" w:color="CCCCCC" w:sz="1"/>
              <w:bottom w:val="single" w:color="CCCCCC" w:sz="1"/>
              <w:right w:val="single" w:color="CCCCCC" w:sz="1"/>
            </w:tcBorders>
            <w:shd w:fill="F2F4F6" w:val="clear"/>
            <w:tcMar>
              <w:top w:type="dxa" w:w="100"/>
              <w:left w:type="dxa" w:w="150"/>
              <w:bottom w:type="dxa" w:w="100"/>
              <w:right w:type="dxa" w:w="150"/>
            </w:tcMar>
            <w:vAlign w:val="top"/>
          </w:tcPr>
          <w:p>
            <w:r>
              <w:rPr>
                <w:rFonts w:ascii="Arial" w:cs="Arial" w:eastAsia="Arial" w:hAnsi="Arial"/>
                <w:color w:val="1A1A2E"/>
                <w:sz w:val="22"/>
                <w:szCs w:val="22"/>
              </w:rPr>
              <w:t xml:space="preserve">Senior citizens — cognitive decline, trust in banks</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r>
              <w:rPr>
                <w:rFonts w:ascii="Arial" w:cs="Arial" w:eastAsia="Arial" w:hAnsi="Arial"/>
                <w:b/>
                <w:bCs/>
                <w:color w:val="1E3A5F"/>
                <w:sz w:val="22"/>
                <w:szCs w:val="22"/>
              </w:rPr>
              <w:t xml:space="preserve">Buyer persona (digital)</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r>
              <w:rPr>
                <w:rFonts w:ascii="Arial" w:cs="Arial" w:eastAsia="Arial" w:hAnsi="Arial"/>
                <w:color w:val="1A1A2E"/>
                <w:sz w:val="22"/>
                <w:szCs w:val="22"/>
              </w:rPr>
              <w:t xml:space="preserve">Adult child, 35–55yr, urban, concerned about parents</w:t>
            </w:r>
          </w:p>
        </w:tc>
      </w:tr>
    </w:tbl>
    <w:p>
      <w:pPr>
        <w:spacing w:after="0" w:before="60"/>
      </w:pPr>
    </w:p>
    <w:p>
      <w:pPr>
        <w:spacing w:after="60" w:before="60"/>
      </w:pPr>
      <w:r>
        <w:rPr>
          <w:rFonts w:ascii="Arial" w:cs="Arial" w:eastAsia="Arial" w:hAnsi="Arial"/>
          <w:color w:val="1A1A2E"/>
          <w:sz w:val="22"/>
          <w:szCs w:val="22"/>
        </w:rPr>
        <w:t xml:space="preserve">Crucially: the buyer and the user are different people. The adult child in Bengaluru is digitally fluent and willing to pay to protect their parents in a Tier 2 town. This is the acquisition angle that no portal has exploited.</w:t>
      </w:r>
    </w:p>
    <w:p>
      <w:pPr>
        <w:spacing w:after="0" w:before="60"/>
      </w:pPr>
    </w:p>
    <w:p>
      <w:pPr>
        <w:pStyle w:val="Heading2"/>
        <w:spacing w:after="100" w:before="240"/>
      </w:pPr>
      <w:r>
        <w:rPr>
          <w:rFonts w:ascii="Arial" w:cs="Arial" w:eastAsia="Arial" w:hAnsi="Arial"/>
          <w:b/>
          <w:bCs/>
          <w:color w:val="2E86AB"/>
          <w:sz w:val="26"/>
          <w:szCs w:val="26"/>
        </w:rPr>
        <w:t xml:space="preserve">The Product</w:t>
      </w:r>
    </w:p>
    <w:p>
      <w:pPr>
        <w:spacing w:after="80" w:before="160"/>
      </w:pPr>
      <w:r>
        <w:rPr>
          <w:rFonts w:ascii="Arial" w:cs="Arial" w:eastAsia="Arial" w:hAnsi="Arial"/>
          <w:b/>
          <w:bCs/>
          <w:color w:val="1E3A5F"/>
          <w:sz w:val="22"/>
          <w:szCs w:val="22"/>
        </w:rPr>
        <w:t xml:space="preserve">Policy Scanner for Seniors</w:t>
      </w:r>
    </w:p>
    <w:p>
      <w:pPr>
        <w:pStyle w:val="ListParagraph"/>
        <w:numPr>
          <w:ilvl w:val="0"/>
          <w:numId w:val="2"/>
        </w:numPr>
        <w:spacing w:after="40" w:before="40"/>
      </w:pPr>
      <w:r>
        <w:rPr>
          <w:rFonts w:ascii="Arial" w:cs="Arial" w:eastAsia="Arial" w:hAnsi="Arial"/>
          <w:color w:val="1A1A2E"/>
          <w:sz w:val="22"/>
          <w:szCs w:val="22"/>
        </w:rPr>
        <w:t xml:space="preserve">Upload parent's existing policies: detect ULIPs sold as FDs, identify whether the senior actually understood what they were signing, flag mis-selling signals</w:t>
      </w:r>
    </w:p>
    <w:p>
      <w:pPr>
        <w:pStyle w:val="ListParagraph"/>
        <w:numPr>
          <w:ilvl w:val="0"/>
          <w:numId w:val="2"/>
        </w:numPr>
        <w:spacing w:after="40" w:before="40"/>
      </w:pPr>
      <w:r>
        <w:rPr>
          <w:rFonts w:ascii="Arial" w:cs="Arial" w:eastAsia="Arial" w:hAnsi="Arial"/>
          <w:color w:val="1A1A2E"/>
          <w:sz w:val="22"/>
          <w:szCs w:val="22"/>
        </w:rPr>
        <w:t xml:space="preserve">Output: 'Your father holds 3 ULIPs that were likely mis-sold. Total premiums paid: ₹4.8L. Here are your options: file a mis-selling complaint, surrender (and we'll tell you the penalty), or restructure.'</w:t>
      </w:r>
    </w:p>
    <w:p>
      <w:pPr>
        <w:spacing w:after="0" w:before="60"/>
      </w:pPr>
    </w:p>
    <w:p>
      <w:pPr>
        <w:spacing w:after="80" w:before="160"/>
      </w:pPr>
      <w:r>
        <w:rPr>
          <w:rFonts w:ascii="Arial" w:cs="Arial" w:eastAsia="Arial" w:hAnsi="Arial"/>
          <w:b/>
          <w:bCs/>
          <w:color w:val="1E3A5F"/>
          <w:sz w:val="22"/>
          <w:szCs w:val="22"/>
        </w:rPr>
        <w:t xml:space="preserve">Entitlement Check</w:t>
      </w:r>
    </w:p>
    <w:p>
      <w:pPr>
        <w:pStyle w:val="ListParagraph"/>
        <w:numPr>
          <w:ilvl w:val="0"/>
          <w:numId w:val="2"/>
        </w:numPr>
        <w:spacing w:after="40" w:before="40"/>
      </w:pPr>
      <w:r>
        <w:rPr>
          <w:rFonts w:ascii="Arial" w:cs="Arial" w:eastAsia="Arial" w:hAnsi="Arial"/>
          <w:color w:val="1A1A2E"/>
          <w:sz w:val="22"/>
          <w:szCs w:val="22"/>
        </w:rPr>
        <w:t xml:space="preserve">Automatic PM-JAY eligibility check for the senior (all 70+ qualify since Oct 2024)</w:t>
      </w:r>
    </w:p>
    <w:p>
      <w:pPr>
        <w:pStyle w:val="ListParagraph"/>
        <w:numPr>
          <w:ilvl w:val="0"/>
          <w:numId w:val="2"/>
        </w:numPr>
        <w:spacing w:after="40" w:before="40"/>
      </w:pPr>
      <w:r>
        <w:rPr>
          <w:rFonts w:ascii="Arial" w:cs="Arial" w:eastAsia="Arial" w:hAnsi="Arial"/>
          <w:color w:val="1A1A2E"/>
          <w:sz w:val="22"/>
          <w:szCs w:val="22"/>
        </w:rPr>
        <w:t xml:space="preserve">Senior-specific state scheme check (Kerala Karunya KASP, Maharashtra MJPJAY, etc.)</w:t>
      </w:r>
    </w:p>
    <w:p>
      <w:pPr>
        <w:pStyle w:val="ListParagraph"/>
        <w:numPr>
          <w:ilvl w:val="0"/>
          <w:numId w:val="2"/>
        </w:numPr>
        <w:spacing w:after="40" w:before="40"/>
      </w:pPr>
      <w:r>
        <w:rPr>
          <w:rFonts w:ascii="Arial" w:cs="Arial" w:eastAsia="Arial" w:hAnsi="Arial"/>
          <w:color w:val="1A1A2E"/>
          <w:sz w:val="22"/>
          <w:szCs w:val="22"/>
        </w:rPr>
        <w:t xml:space="preserve">PMJJBY and PMSBY enrollment status and claim history</w:t>
      </w:r>
    </w:p>
    <w:p>
      <w:pPr>
        <w:spacing w:after="0" w:before="60"/>
      </w:pPr>
    </w:p>
    <w:p>
      <w:pPr>
        <w:spacing w:after="80" w:before="160"/>
      </w:pPr>
      <w:r>
        <w:rPr>
          <w:rFonts w:ascii="Arial" w:cs="Arial" w:eastAsia="Arial" w:hAnsi="Arial"/>
          <w:b/>
          <w:bCs/>
          <w:color w:val="1E3A5F"/>
          <w:sz w:val="22"/>
          <w:szCs w:val="22"/>
        </w:rPr>
        <w:t xml:space="preserve">Family Caretaker Dashboard</w:t>
      </w:r>
    </w:p>
    <w:p>
      <w:pPr>
        <w:pStyle w:val="ListParagraph"/>
        <w:numPr>
          <w:ilvl w:val="0"/>
          <w:numId w:val="2"/>
        </w:numPr>
        <w:spacing w:after="40" w:before="40"/>
      </w:pPr>
      <w:r>
        <w:rPr>
          <w:rFonts w:ascii="Arial" w:cs="Arial" w:eastAsia="Arial" w:hAnsi="Arial"/>
          <w:color w:val="1A1A2E"/>
          <w:sz w:val="22"/>
          <w:szCs w:val="22"/>
        </w:rPr>
        <w:t xml:space="preserve">Adult child gets visibility into all parent's policies: renewal dates, nominee status, claim history, premium amounts</w:t>
      </w:r>
    </w:p>
    <w:p>
      <w:pPr>
        <w:pStyle w:val="ListParagraph"/>
        <w:numPr>
          <w:ilvl w:val="0"/>
          <w:numId w:val="2"/>
        </w:numPr>
        <w:spacing w:after="40" w:before="40"/>
      </w:pPr>
      <w:r>
        <w:rPr>
          <w:rFonts w:ascii="Arial" w:cs="Arial" w:eastAsia="Arial" w:hAnsi="Arial"/>
          <w:color w:val="1A1A2E"/>
          <w:sz w:val="22"/>
          <w:szCs w:val="22"/>
        </w:rPr>
        <w:t xml:space="preserve">Alert system: 'Your mother's health insurance renews in 30 days. We noticed her coverage hasn't been increased in 3 years while medical inflation ran at 13%.</w:t>
      </w:r>
    </w:p>
    <w:p>
      <w:pPr>
        <w:pStyle w:val="ListParagraph"/>
        <w:numPr>
          <w:ilvl w:val="0"/>
          <w:numId w:val="2"/>
        </w:numPr>
        <w:spacing w:after="40" w:before="40"/>
      </w:pPr>
      <w:r>
        <w:rPr>
          <w:rFonts w:ascii="Arial" w:cs="Arial" w:eastAsia="Arial" w:hAnsi="Arial"/>
          <w:color w:val="1A1A2E"/>
          <w:sz w:val="22"/>
          <w:szCs w:val="22"/>
        </w:rPr>
        <w:t xml:space="preserve">Emergency access: in hospitalization emergency, adult child can access all policy details from the dashboard in one click</w:t>
      </w:r>
    </w:p>
    <w:p>
      <w:pPr>
        <w:spacing w:after="0" w:before="60"/>
      </w:pPr>
    </w:p>
    <w:p>
      <w:pPr>
        <w:spacing w:after="80" w:before="160"/>
      </w:pPr>
      <w:r>
        <w:rPr>
          <w:rFonts w:ascii="Arial" w:cs="Arial" w:eastAsia="Arial" w:hAnsi="Arial"/>
          <w:b/>
          <w:bCs/>
          <w:color w:val="1E3A5F"/>
          <w:sz w:val="22"/>
          <w:szCs w:val="22"/>
        </w:rPr>
        <w:t xml:space="preserve">Mis-selling Recovery</w:t>
      </w:r>
    </w:p>
    <w:p>
      <w:pPr>
        <w:pStyle w:val="ListParagraph"/>
        <w:numPr>
          <w:ilvl w:val="0"/>
          <w:numId w:val="2"/>
        </w:numPr>
        <w:spacing w:after="40" w:before="40"/>
      </w:pPr>
      <w:r>
        <w:rPr>
          <w:rFonts w:ascii="Arial" w:cs="Arial" w:eastAsia="Arial" w:hAnsi="Arial"/>
          <w:color w:val="1A1A2E"/>
          <w:sz w:val="22"/>
          <w:szCs w:val="22"/>
        </w:rPr>
        <w:t xml:space="preserve">If ULIP mis-selling is confirmed: guided complaint filing with insurer grievance cell and IRDAI</w:t>
      </w:r>
    </w:p>
    <w:p>
      <w:pPr>
        <w:pStyle w:val="ListParagraph"/>
        <w:numPr>
          <w:ilvl w:val="0"/>
          <w:numId w:val="2"/>
        </w:numPr>
        <w:spacing w:after="40" w:before="40"/>
      </w:pPr>
      <w:r>
        <w:rPr>
          <w:rFonts w:ascii="Arial" w:cs="Arial" w:eastAsia="Arial" w:hAnsi="Arial"/>
          <w:color w:val="1A1A2E"/>
          <w:sz w:val="22"/>
          <w:szCs w:val="22"/>
        </w:rPr>
        <w:t xml:space="preserve">Success fee on recovered premiums. IRDAI mandates full refund in proven mis-selling cases.</w:t>
      </w:r>
    </w:p>
    <w:p>
      <w:pPr>
        <w:spacing w:after="0" w:before="60"/>
      </w:pPr>
    </w:p>
    <w:p>
      <w:pPr>
        <w:pStyle w:val="Heading2"/>
        <w:spacing w:after="100" w:before="240"/>
      </w:pPr>
      <w:r>
        <w:rPr>
          <w:rFonts w:ascii="Arial" w:cs="Arial" w:eastAsia="Arial" w:hAnsi="Arial"/>
          <w:b/>
          <w:bCs/>
          <w:color w:val="2E86AB"/>
          <w:sz w:val="26"/>
          <w:szCs w:val="26"/>
        </w:rPr>
        <w:t xml:space="preserve">Revenue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F2F4F6" w:val="clear"/>
            <w:tcMar>
              <w:top w:type="dxa" w:w="100"/>
              <w:left w:type="dxa" w:w="150"/>
              <w:bottom w:type="dxa" w:w="100"/>
              <w:right w:type="dxa" w:w="150"/>
            </w:tcMar>
            <w:vAlign w:val="top"/>
          </w:tcPr>
          <w:p>
            <w:r>
              <w:rPr>
                <w:rFonts w:ascii="Arial" w:cs="Arial" w:eastAsia="Arial" w:hAnsi="Arial"/>
                <w:b/>
                <w:bCs/>
                <w:color w:val="1E3A5F"/>
                <w:sz w:val="22"/>
                <w:szCs w:val="22"/>
              </w:rPr>
              <w:t xml:space="preserve">Family subscription</w:t>
            </w:r>
          </w:p>
        </w:tc>
        <w:tc>
          <w:tcPr>
            <w:tcW w:type="dxa" w:w="5860"/>
            <w:tcBorders>
              <w:top w:val="single" w:color="CCCCCC" w:sz="1"/>
              <w:left w:val="single" w:color="CCCCCC" w:sz="1"/>
              <w:bottom w:val="single" w:color="CCCCCC" w:sz="1"/>
              <w:right w:val="single" w:color="CCCCCC" w:sz="1"/>
            </w:tcBorders>
            <w:shd w:fill="F2F4F6" w:val="clear"/>
            <w:tcMar>
              <w:top w:type="dxa" w:w="100"/>
              <w:left w:type="dxa" w:w="150"/>
              <w:bottom w:type="dxa" w:w="100"/>
              <w:right w:type="dxa" w:w="150"/>
            </w:tcMar>
            <w:vAlign w:val="top"/>
          </w:tcPr>
          <w:p>
            <w:r>
              <w:rPr>
                <w:rFonts w:ascii="Arial" w:cs="Arial" w:eastAsia="Arial" w:hAnsi="Arial"/>
                <w:color w:val="1A1A2E"/>
                <w:sz w:val="22"/>
                <w:szCs w:val="22"/>
              </w:rPr>
              <w:t xml:space="preserve">₹999/year — adult child pays to protect parents</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r>
              <w:rPr>
                <w:rFonts w:ascii="Arial" w:cs="Arial" w:eastAsia="Arial" w:hAnsi="Arial"/>
                <w:b/>
                <w:bCs/>
                <w:color w:val="1E3A5F"/>
                <w:sz w:val="22"/>
                <w:szCs w:val="22"/>
              </w:rPr>
              <w:t xml:space="preserve">Policy scanner (one-time)</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r>
              <w:rPr>
                <w:rFonts w:ascii="Arial" w:cs="Arial" w:eastAsia="Arial" w:hAnsi="Arial"/>
                <w:color w:val="1A1A2E"/>
                <w:sz w:val="22"/>
                <w:szCs w:val="22"/>
              </w:rPr>
              <w:t xml:space="preserve">₹499 per policy analyzed</w:t>
            </w:r>
          </w:p>
        </w:tc>
      </w:tr>
      <w:tr>
        <w:tc>
          <w:tcPr>
            <w:tcW w:type="dxa" w:w="3500"/>
            <w:tcBorders>
              <w:top w:val="single" w:color="CCCCCC" w:sz="1"/>
              <w:left w:val="single" w:color="CCCCCC" w:sz="1"/>
              <w:bottom w:val="single" w:color="CCCCCC" w:sz="1"/>
              <w:right w:val="single" w:color="CCCCCC" w:sz="1"/>
            </w:tcBorders>
            <w:shd w:fill="F2F4F6" w:val="clear"/>
            <w:tcMar>
              <w:top w:type="dxa" w:w="100"/>
              <w:left w:type="dxa" w:w="150"/>
              <w:bottom w:type="dxa" w:w="100"/>
              <w:right w:type="dxa" w:w="150"/>
            </w:tcMar>
            <w:vAlign w:val="top"/>
          </w:tcPr>
          <w:p>
            <w:r>
              <w:rPr>
                <w:rFonts w:ascii="Arial" w:cs="Arial" w:eastAsia="Arial" w:hAnsi="Arial"/>
                <w:b/>
                <w:bCs/>
                <w:color w:val="1E3A5F"/>
                <w:sz w:val="22"/>
                <w:szCs w:val="22"/>
              </w:rPr>
              <w:t xml:space="preserve">Mis-selling recovery success fee</w:t>
            </w:r>
          </w:p>
        </w:tc>
        <w:tc>
          <w:tcPr>
            <w:tcW w:type="dxa" w:w="5860"/>
            <w:tcBorders>
              <w:top w:val="single" w:color="CCCCCC" w:sz="1"/>
              <w:left w:val="single" w:color="CCCCCC" w:sz="1"/>
              <w:bottom w:val="single" w:color="CCCCCC" w:sz="1"/>
              <w:right w:val="single" w:color="CCCCCC" w:sz="1"/>
            </w:tcBorders>
            <w:shd w:fill="F2F4F6" w:val="clear"/>
            <w:tcMar>
              <w:top w:type="dxa" w:w="100"/>
              <w:left w:type="dxa" w:w="150"/>
              <w:bottom w:type="dxa" w:w="100"/>
              <w:right w:type="dxa" w:w="150"/>
            </w:tcMar>
            <w:vAlign w:val="top"/>
          </w:tcPr>
          <w:p>
            <w:r>
              <w:rPr>
                <w:rFonts w:ascii="Arial" w:cs="Arial" w:eastAsia="Arial" w:hAnsi="Arial"/>
                <w:color w:val="1A1A2E"/>
                <w:sz w:val="22"/>
                <w:szCs w:val="22"/>
              </w:rPr>
              <w:t xml:space="preserve">15% of recovered amount (premiums can be ₹50K–5L)</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r>
              <w:rPr>
                <w:rFonts w:ascii="Arial" w:cs="Arial" w:eastAsia="Arial" w:hAnsi="Arial"/>
                <w:b/>
                <w:bCs/>
                <w:color w:val="1E3A5F"/>
                <w:sz w:val="22"/>
                <w:szCs w:val="22"/>
              </w:rPr>
              <w:t xml:space="preserve">Entitlement navigation fee</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r>
              <w:rPr>
                <w:rFonts w:ascii="Arial" w:cs="Arial" w:eastAsia="Arial" w:hAnsi="Arial"/>
                <w:color w:val="1A1A2E"/>
                <w:sz w:val="22"/>
                <w:szCs w:val="22"/>
              </w:rPr>
              <w:t xml:space="preserve">₹299 for guided PM-JAY enrollment</w:t>
            </w:r>
          </w:p>
        </w:tc>
      </w:tr>
      <w:tr>
        <w:tc>
          <w:tcPr>
            <w:tcW w:type="dxa" w:w="3500"/>
            <w:tcBorders>
              <w:top w:val="single" w:color="CCCCCC" w:sz="1"/>
              <w:left w:val="single" w:color="CCCCCC" w:sz="1"/>
              <w:bottom w:val="single" w:color="CCCCCC" w:sz="1"/>
              <w:right w:val="single" w:color="CCCCCC" w:sz="1"/>
            </w:tcBorders>
            <w:shd w:fill="F2F4F6" w:val="clear"/>
            <w:tcMar>
              <w:top w:type="dxa" w:w="100"/>
              <w:left w:type="dxa" w:w="150"/>
              <w:bottom w:type="dxa" w:w="100"/>
              <w:right w:type="dxa" w:w="150"/>
            </w:tcMar>
            <w:vAlign w:val="top"/>
          </w:tcPr>
          <w:p>
            <w:r>
              <w:rPr>
                <w:rFonts w:ascii="Arial" w:cs="Arial" w:eastAsia="Arial" w:hAnsi="Arial"/>
                <w:b/>
                <w:bCs/>
                <w:color w:val="1E3A5F"/>
                <w:sz w:val="22"/>
                <w:szCs w:val="22"/>
              </w:rPr>
              <w:t xml:space="preserve">Insurer cross-sell</w:t>
            </w:r>
          </w:p>
        </w:tc>
        <w:tc>
          <w:tcPr>
            <w:tcW w:type="dxa" w:w="5860"/>
            <w:tcBorders>
              <w:top w:val="single" w:color="CCCCCC" w:sz="1"/>
              <w:left w:val="single" w:color="CCCCCC" w:sz="1"/>
              <w:bottom w:val="single" w:color="CCCCCC" w:sz="1"/>
              <w:right w:val="single" w:color="CCCCCC" w:sz="1"/>
            </w:tcBorders>
            <w:shd w:fill="F2F4F6" w:val="clear"/>
            <w:tcMar>
              <w:top w:type="dxa" w:w="100"/>
              <w:left w:type="dxa" w:w="150"/>
              <w:bottom w:type="dxa" w:w="100"/>
              <w:right w:type="dxa" w:w="150"/>
            </w:tcMar>
            <w:vAlign w:val="top"/>
          </w:tcPr>
          <w:p>
            <w:r>
              <w:rPr>
                <w:rFonts w:ascii="Arial" w:cs="Arial" w:eastAsia="Arial" w:hAnsi="Arial"/>
                <w:color w:val="1A1A2E"/>
                <w:sz w:val="22"/>
                <w:szCs w:val="22"/>
              </w:rPr>
              <w:t xml:space="preserve">When mismatched policy is surrendered, senior needs appropriate replacement — broker commission</w:t>
            </w:r>
          </w:p>
        </w:tc>
      </w:tr>
    </w:tbl>
    <w:p>
      <w:pPr>
        <w:spacing w:after="0" w:before="60"/>
      </w:pPr>
    </w:p>
    <w:p>
      <w:pPr>
        <w:pStyle w:val="Heading2"/>
        <w:spacing w:after="100" w:before="240"/>
      </w:pPr>
      <w:r>
        <w:rPr>
          <w:rFonts w:ascii="Arial" w:cs="Arial" w:eastAsia="Arial" w:hAnsi="Arial"/>
          <w:b/>
          <w:bCs/>
          <w:color w:val="2E86AB"/>
          <w:sz w:val="26"/>
          <w:szCs w:val="26"/>
        </w:rPr>
        <w:t xml:space="preserve">Competitive Moat</w:t>
      </w:r>
    </w:p>
    <w:p>
      <w:pPr>
        <w:pStyle w:val="ListParagraph"/>
        <w:numPr>
          <w:ilvl w:val="0"/>
          <w:numId w:val="2"/>
        </w:numPr>
        <w:spacing w:after="40" w:before="40"/>
      </w:pPr>
      <w:r>
        <w:rPr>
          <w:rFonts w:ascii="Arial" w:cs="Arial" w:eastAsia="Arial" w:hAnsi="Arial"/>
          <w:color w:val="1A1A2E"/>
          <w:sz w:val="22"/>
          <w:szCs w:val="22"/>
        </w:rPr>
        <w:t xml:space="preserve">Emotional moat: 'protecting my parents' is one of the highest-intent purchasing contexts in India. The brand that occupies this position in the consumer's mind has extraordinary loyalty.</w:t>
      </w:r>
    </w:p>
    <w:p>
      <w:pPr>
        <w:pStyle w:val="ListParagraph"/>
        <w:numPr>
          <w:ilvl w:val="0"/>
          <w:numId w:val="2"/>
        </w:numPr>
        <w:spacing w:after="40" w:before="40"/>
      </w:pPr>
      <w:r>
        <w:rPr>
          <w:rFonts w:ascii="Arial" w:cs="Arial" w:eastAsia="Arial" w:hAnsi="Arial"/>
          <w:color w:val="1A1A2E"/>
          <w:sz w:val="22"/>
          <w:szCs w:val="22"/>
        </w:rPr>
        <w:t xml:space="preserve">Adult child as buyer: 35–55yr urban professionals are highly reachable on LinkedIn, Instagram, and Google. CAC is manageable for a ₹999/year subscription.</w:t>
      </w:r>
    </w:p>
    <w:p>
      <w:pPr>
        <w:pStyle w:val="ListParagraph"/>
        <w:numPr>
          <w:ilvl w:val="0"/>
          <w:numId w:val="2"/>
        </w:numPr>
        <w:spacing w:after="40" w:before="40"/>
      </w:pPr>
      <w:r>
        <w:rPr>
          <w:rFonts w:ascii="Arial" w:cs="Arial" w:eastAsia="Arial" w:hAnsi="Arial"/>
          <w:color w:val="1A1A2E"/>
          <w:sz w:val="22"/>
          <w:szCs w:val="22"/>
        </w:rPr>
        <w:t xml:space="preserve">Mis-selling database: every case analyzed builds a pattern library of insurer-specific mis-selling signals (which ULIP products, which banks, which pitch phrases). This is proprietary.</w:t>
      </w:r>
    </w:p>
    <w:p>
      <w:pPr>
        <w:spacing w:after="0" w:before="60"/>
      </w:pPr>
    </w:p>
    <w:p>
      <w:pPr>
        <w:pStyle w:val="Heading2"/>
        <w:spacing w:after="100" w:before="240"/>
      </w:pPr>
      <w:r>
        <w:rPr>
          <w:rFonts w:ascii="Arial" w:cs="Arial" w:eastAsia="Arial" w:hAnsi="Arial"/>
          <w:b/>
          <w:bCs/>
          <w:color w:val="2E86AB"/>
          <w:sz w:val="26"/>
          <w:szCs w:val="26"/>
        </w:rPr>
        <w:t xml:space="preserve">Risks &amp; Mitigations</w:t>
      </w:r>
    </w:p>
    <w:p>
      <w:pPr>
        <w:pStyle w:val="ListParagraph"/>
        <w:numPr>
          <w:ilvl w:val="0"/>
          <w:numId w:val="2"/>
        </w:numPr>
        <w:spacing w:after="40" w:before="40"/>
      </w:pPr>
      <w:r>
        <w:rPr>
          <w:rFonts w:ascii="Arial" w:cs="Arial" w:eastAsia="Arial" w:hAnsi="Arial"/>
          <w:color w:val="1A1A2E"/>
          <w:sz w:val="22"/>
          <w:szCs w:val="22"/>
        </w:rPr>
        <w:t xml:space="preserve">Emotional sensitivity: the platform handles families in distress. Content, UX, and advisor training must reflect this — no aggressive upsell, no manipulative urgency.</w:t>
      </w:r>
    </w:p>
    <w:p>
      <w:pPr>
        <w:pStyle w:val="ListParagraph"/>
        <w:numPr>
          <w:ilvl w:val="0"/>
          <w:numId w:val="2"/>
        </w:numPr>
        <w:spacing w:after="40" w:before="40"/>
      </w:pPr>
      <w:r>
        <w:rPr>
          <w:rFonts w:ascii="Arial" w:cs="Arial" w:eastAsia="Arial" w:hAnsi="Arial"/>
          <w:color w:val="1A1A2E"/>
          <w:sz w:val="22"/>
          <w:szCs w:val="22"/>
        </w:rPr>
        <w:t xml:space="preserve">Verification complexity: proving mis-selling requires documentation of the original sales pitch. Not all cases are winnable.</w:t>
      </w:r>
    </w:p>
    <w:p>
      <w:pPr>
        <w:pStyle w:val="ListParagraph"/>
        <w:numPr>
          <w:ilvl w:val="0"/>
          <w:numId w:val="2"/>
        </w:numPr>
        <w:spacing w:after="40" w:before="40"/>
      </w:pPr>
      <w:r>
        <w:rPr>
          <w:rFonts w:ascii="Arial" w:cs="Arial" w:eastAsia="Arial" w:hAnsi="Arial"/>
          <w:color w:val="1A1A2E"/>
          <w:sz w:val="22"/>
          <w:szCs w:val="22"/>
        </w:rPr>
        <w:t xml:space="preserve">Regulatory nuance: ULIP mis-selling complaints go through a different regulatory path than health claim rejections. Need IRDAI and SEBI expertise.</w:t>
      </w:r>
    </w:p>
    <w:p>
      <w:pPr>
        <w:spacing w:after="0" w:before="60"/>
      </w:pPr>
    </w:p>
    <w:p>
      <w:pPr>
        <w:pStyle w:val="Heading2"/>
        <w:spacing w:after="100" w:before="240"/>
      </w:pPr>
      <w:r>
        <w:rPr>
          <w:rFonts w:ascii="Arial" w:cs="Arial" w:eastAsia="Arial" w:hAnsi="Arial"/>
          <w:b/>
          <w:bCs/>
          <w:color w:val="2E86AB"/>
          <w:sz w:val="26"/>
          <w:szCs w:val="26"/>
        </w:rPr>
        <w:t xml:space="preserve">Key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F2F4F6" w:val="clear"/>
            <w:tcMar>
              <w:top w:type="dxa" w:w="100"/>
              <w:left w:type="dxa" w:w="150"/>
              <w:bottom w:type="dxa" w:w="100"/>
              <w:right w:type="dxa" w:w="150"/>
            </w:tcMar>
            <w:vAlign w:val="top"/>
          </w:tcPr>
          <w:p>
            <w:r>
              <w:rPr>
                <w:rFonts w:ascii="Arial" w:cs="Arial" w:eastAsia="Arial" w:hAnsi="Arial"/>
                <w:b/>
                <w:bCs/>
                <w:color w:val="1E3A5F"/>
                <w:sz w:val="22"/>
                <w:szCs w:val="22"/>
              </w:rPr>
              <w:t xml:space="preserve">Month 3 target</w:t>
            </w:r>
          </w:p>
        </w:tc>
        <w:tc>
          <w:tcPr>
            <w:tcW w:type="dxa" w:w="5860"/>
            <w:tcBorders>
              <w:top w:val="single" w:color="CCCCCC" w:sz="1"/>
              <w:left w:val="single" w:color="CCCCCC" w:sz="1"/>
              <w:bottom w:val="single" w:color="CCCCCC" w:sz="1"/>
              <w:right w:val="single" w:color="CCCCCC" w:sz="1"/>
            </w:tcBorders>
            <w:shd w:fill="F2F4F6" w:val="clear"/>
            <w:tcMar>
              <w:top w:type="dxa" w:w="100"/>
              <w:left w:type="dxa" w:w="150"/>
              <w:bottom w:type="dxa" w:w="100"/>
              <w:right w:type="dxa" w:w="150"/>
            </w:tcMar>
            <w:vAlign w:val="top"/>
          </w:tcPr>
          <w:p>
            <w:r>
              <w:rPr>
                <w:rFonts w:ascii="Arial" w:cs="Arial" w:eastAsia="Arial" w:hAnsi="Arial"/>
                <w:color w:val="1A1A2E"/>
                <w:sz w:val="22"/>
                <w:szCs w:val="22"/>
              </w:rPr>
              <w:t xml:space="preserve">500 families subscribed. 50 policy scans. 10 mis-selling cases filed.</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r>
              <w:rPr>
                <w:rFonts w:ascii="Arial" w:cs="Arial" w:eastAsia="Arial" w:hAnsi="Arial"/>
                <w:b/>
                <w:bCs/>
                <w:color w:val="1E3A5F"/>
                <w:sz w:val="22"/>
                <w:szCs w:val="22"/>
              </w:rPr>
              <w:t xml:space="preserve">Month 6 MRR target</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r>
              <w:rPr>
                <w:rFonts w:ascii="Arial" w:cs="Arial" w:eastAsia="Arial" w:hAnsi="Arial"/>
                <w:color w:val="1A1A2E"/>
                <w:sz w:val="22"/>
                <w:szCs w:val="22"/>
              </w:rPr>
              <w:t xml:space="preserve">₹8L (subscriptions + scan fees + 5 recovery successes)</w:t>
            </w:r>
          </w:p>
        </w:tc>
      </w:tr>
      <w:tr>
        <w:tc>
          <w:tcPr>
            <w:tcW w:type="dxa" w:w="3500"/>
            <w:tcBorders>
              <w:top w:val="single" w:color="CCCCCC" w:sz="1"/>
              <w:left w:val="single" w:color="CCCCCC" w:sz="1"/>
              <w:bottom w:val="single" w:color="CCCCCC" w:sz="1"/>
              <w:right w:val="single" w:color="CCCCCC" w:sz="1"/>
            </w:tcBorders>
            <w:shd w:fill="F2F4F6" w:val="clear"/>
            <w:tcMar>
              <w:top w:type="dxa" w:w="100"/>
              <w:left w:type="dxa" w:w="150"/>
              <w:bottom w:type="dxa" w:w="100"/>
              <w:right w:type="dxa" w:w="150"/>
            </w:tcMar>
            <w:vAlign w:val="top"/>
          </w:tcPr>
          <w:p>
            <w:r>
              <w:rPr>
                <w:rFonts w:ascii="Arial" w:cs="Arial" w:eastAsia="Arial" w:hAnsi="Arial"/>
                <w:b/>
                <w:bCs/>
                <w:color w:val="1E3A5F"/>
                <w:sz w:val="22"/>
                <w:szCs w:val="22"/>
              </w:rPr>
              <w:t xml:space="preserve">Month 12 MRR target</w:t>
            </w:r>
          </w:p>
        </w:tc>
        <w:tc>
          <w:tcPr>
            <w:tcW w:type="dxa" w:w="5860"/>
            <w:tcBorders>
              <w:top w:val="single" w:color="CCCCCC" w:sz="1"/>
              <w:left w:val="single" w:color="CCCCCC" w:sz="1"/>
              <w:bottom w:val="single" w:color="CCCCCC" w:sz="1"/>
              <w:right w:val="single" w:color="CCCCCC" w:sz="1"/>
            </w:tcBorders>
            <w:shd w:fill="F2F4F6" w:val="clear"/>
            <w:tcMar>
              <w:top w:type="dxa" w:w="100"/>
              <w:left w:type="dxa" w:w="150"/>
              <w:bottom w:type="dxa" w:w="100"/>
              <w:right w:type="dxa" w:w="150"/>
            </w:tcMar>
            <w:vAlign w:val="top"/>
          </w:tcPr>
          <w:p>
            <w:r>
              <w:rPr>
                <w:rFonts w:ascii="Arial" w:cs="Arial" w:eastAsia="Arial" w:hAnsi="Arial"/>
                <w:color w:val="1A1A2E"/>
                <w:sz w:val="22"/>
                <w:szCs w:val="22"/>
              </w:rPr>
              <w:t xml:space="preserve">₹25L — target 15,000 families subscribed</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r>
              <w:rPr>
                <w:rFonts w:ascii="Arial" w:cs="Arial" w:eastAsia="Arial" w:hAnsi="Arial"/>
                <w:b/>
                <w:bCs/>
                <w:color w:val="1E3A5F"/>
                <w:sz w:val="22"/>
                <w:szCs w:val="22"/>
              </w:rPr>
              <w:t xml:space="preserve">North Star</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r>
              <w:rPr>
                <w:rFonts w:ascii="Arial" w:cs="Arial" w:eastAsia="Arial" w:hAnsi="Arial"/>
                <w:color w:val="1A1A2E"/>
                <w:sz w:val="22"/>
                <w:szCs w:val="22"/>
              </w:rPr>
              <w:t xml:space="preserve">Parents protected per family subscription (should be ≥2)</w:t>
            </w:r>
          </w:p>
        </w:tc>
      </w:tr>
    </w:tbl>
    <w:p>
      <w:pPr>
        <w:spacing w:after="0" w:before="60"/>
      </w:pPr>
    </w:p>
    <w:p>
      <w:pPr>
        <w:pStyle w:val="Heading2"/>
        <w:spacing w:after="100" w:before="240"/>
      </w:pPr>
      <w:r>
        <w:rPr>
          <w:rFonts w:ascii="Arial" w:cs="Arial" w:eastAsia="Arial" w:hAnsi="Arial"/>
          <w:b/>
          <w:bCs/>
          <w:color w:val="2E86AB"/>
          <w:sz w:val="26"/>
          <w:szCs w:val="26"/>
        </w:rPr>
        <w:t xml:space="preserve">First 90 Days</w:t>
      </w:r>
    </w:p>
    <w:p>
      <w:pPr>
        <w:pStyle w:val="ListParagraph"/>
        <w:numPr>
          <w:ilvl w:val="0"/>
          <w:numId w:val="2"/>
        </w:numPr>
        <w:spacing w:after="40" w:before="40"/>
      </w:pPr>
      <w:r>
        <w:rPr>
          <w:rFonts w:ascii="Arial" w:cs="Arial" w:eastAsia="Arial" w:hAnsi="Arial"/>
          <w:color w:val="1A1A2E"/>
          <w:sz w:val="22"/>
          <w:szCs w:val="22"/>
        </w:rPr>
        <w:t xml:space="preserve">Days 1–30: Build ULIP mis-selling detection logic. Write LinkedIn content series 'Is your parent's bank mis-selling them insurance?' Target 50 inbound leads.</w:t>
      </w:r>
    </w:p>
    <w:p>
      <w:pPr>
        <w:pStyle w:val="ListParagraph"/>
        <w:numPr>
          <w:ilvl w:val="0"/>
          <w:numId w:val="2"/>
        </w:numPr>
        <w:spacing w:after="40" w:before="40"/>
      </w:pPr>
      <w:r>
        <w:rPr>
          <w:rFonts w:ascii="Arial" w:cs="Arial" w:eastAsia="Arial" w:hAnsi="Arial"/>
          <w:color w:val="1A1A2E"/>
          <w:sz w:val="22"/>
          <w:szCs w:val="22"/>
        </w:rPr>
        <w:t xml:space="preserve">Days 31–60: Launch ₹999 family subscription. First 100 policy scans. Target 5 mis-selling recovery cases filed.</w:t>
      </w:r>
    </w:p>
    <w:p>
      <w:pPr>
        <w:pStyle w:val="ListParagraph"/>
        <w:numPr>
          <w:ilvl w:val="0"/>
          <w:numId w:val="2"/>
        </w:numPr>
        <w:spacing w:after="40" w:before="40"/>
      </w:pPr>
      <w:r>
        <w:rPr>
          <w:rFonts w:ascii="Arial" w:cs="Arial" w:eastAsia="Arial" w:hAnsi="Arial"/>
          <w:color w:val="1A1A2E"/>
          <w:sz w:val="22"/>
          <w:szCs w:val="22"/>
        </w:rPr>
        <w:t xml:space="preserve">Days 61–90: Launch PM-JAY entitlement check as free feature. Use as acquisition channel into paid subscription. Target 500 subscribing families.</w:t>
      </w:r>
    </w:p>
    <w:p>
      <w:pPr>
        <w:pBdr>
          <w:bottom w:val="single" w:color="2E86AB" w:sz="4" w:space="1"/>
        </w:pBdr>
        <w:spacing w:after="120" w:before="120"/>
      </w:pPr>
    </w:p>
    <w:p>
      <w:r>
        <w:br w:type="page"/>
      </w:r>
    </w:p>
    <w:p>
      <w:pPr>
        <w:spacing w:after="120" w:before="0"/>
      </w:pPr>
      <w:r>
        <w:rPr>
          <w:rFonts w:ascii="Arial" w:cs="Arial" w:eastAsia="Arial" w:hAnsi="Arial"/>
          <w:b/>
          <w:bCs/>
          <w:color w:val="2E86AB"/>
          <w:sz w:val="36"/>
          <w:szCs w:val="36"/>
        </w:rPr>
        <w:t xml:space="preserve">Idea 8  </w:t>
      </w:r>
      <w:r>
        <w:rPr>
          <w:rFonts w:ascii="Arial" w:cs="Arial" w:eastAsia="Arial" w:hAnsi="Arial"/>
          <w:b/>
          <w:bCs/>
          <w:color w:val="1E3A5F"/>
          <w:sz w:val="36"/>
          <w:szCs w:val="36"/>
        </w:rPr>
        <w:t xml:space="preserve">Life Insurance Mis-selling Recovery</w:t>
      </w:r>
    </w:p>
    <w:p>
      <w:pPr>
        <w:spacing w:after="240" w:before="0"/>
      </w:pPr>
      <w:r>
        <w:rPr>
          <w:rFonts w:ascii="Arial" w:cs="Arial" w:eastAsia="Arial" w:hAnsi="Arial"/>
          <w:i/>
          <w:iCs/>
          <w:color w:val="555555"/>
          <w:sz w:val="24"/>
          <w:szCs w:val="24"/>
        </w:rPr>
        <w:t xml:space="preserve">"₹40,000 crore locked in wrong policies. IRDAI has named it an alarm."</w:t>
      </w:r>
    </w:p>
    <w:p>
      <w:pPr>
        <w:pStyle w:val="Heading2"/>
        <w:spacing w:after="100" w:before="240"/>
      </w:pPr>
      <w:r>
        <w:rPr>
          <w:rFonts w:ascii="Arial" w:cs="Arial" w:eastAsia="Arial" w:hAnsi="Arial"/>
          <w:b/>
          <w:bCs/>
          <w:color w:val="2E86AB"/>
          <w:sz w:val="26"/>
          <w:szCs w:val="26"/>
        </w:rPr>
        <w:t xml:space="preserve">The Problem</w:t>
      </w:r>
    </w:p>
    <w:p>
      <w:pPr>
        <w:spacing w:after="60" w:before="60"/>
      </w:pPr>
      <w:r>
        <w:rPr>
          <w:rFonts w:ascii="Arial" w:cs="Arial" w:eastAsia="Arial" w:hAnsi="Arial"/>
          <w:color w:val="1A1A2E"/>
          <w:sz w:val="22"/>
          <w:szCs w:val="22"/>
        </w:rPr>
        <w:t xml:space="preserve">IRDAI has explicitly flagged mis-selling as an 'alarming' level concern in its public communications. Banks distributed 33.1% of new individual life insurance premiums in FY24 — up from 15.6% a decade ago — primarily through ULIPs. The commission structure (up to 65% first-year on traditional plans vs. ~1% annually on mutual funds) has created the largest systematic financial mis-selling problem in Indian retail finance history.</w:t>
      </w:r>
    </w:p>
    <w:p>
      <w:pPr>
        <w:spacing w:after="0" w:before="60"/>
      </w:pPr>
    </w:p>
    <w:p>
      <w:pPr>
        <w:spacing w:after="60" w:before="60"/>
      </w:pPr>
      <w:r>
        <w:rPr>
          <w:rFonts w:ascii="Arial" w:cs="Arial" w:eastAsia="Arial" w:hAnsi="Arial"/>
          <w:color w:val="1A1A2E"/>
          <w:sz w:val="22"/>
          <w:szCs w:val="22"/>
        </w:rPr>
        <w:t xml:space="preserve">This idea is closest to the Claims Advocacy Portal (Idea 1) in structure but targets a completely different regulatory track — life insurance instead of health insurance — and is entirely untouched by Insurance Samadhan's current playbook which focuses almost exclusively on health claims.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F2F4F6" w:val="clear"/>
            <w:tcMar>
              <w:top w:type="dxa" w:w="100"/>
              <w:left w:type="dxa" w:w="150"/>
              <w:bottom w:type="dxa" w:w="100"/>
              <w:right w:type="dxa" w:w="150"/>
            </w:tcMar>
            <w:vAlign w:val="top"/>
          </w:tcPr>
          <w:p>
            <w:r>
              <w:rPr>
                <w:rFonts w:ascii="Arial" w:cs="Arial" w:eastAsia="Arial" w:hAnsi="Arial"/>
                <w:b/>
                <w:bCs/>
                <w:color w:val="1E3A5F"/>
                <w:sz w:val="22"/>
                <w:szCs w:val="22"/>
              </w:rPr>
              <w:t xml:space="preserve">Bank share of life insurance distribution</w:t>
            </w:r>
          </w:p>
        </w:tc>
        <w:tc>
          <w:tcPr>
            <w:tcW w:type="dxa" w:w="5860"/>
            <w:tcBorders>
              <w:top w:val="single" w:color="CCCCCC" w:sz="1"/>
              <w:left w:val="single" w:color="CCCCCC" w:sz="1"/>
              <w:bottom w:val="single" w:color="CCCCCC" w:sz="1"/>
              <w:right w:val="single" w:color="CCCCCC" w:sz="1"/>
            </w:tcBorders>
            <w:shd w:fill="F2F4F6" w:val="clear"/>
            <w:tcMar>
              <w:top w:type="dxa" w:w="100"/>
              <w:left w:type="dxa" w:w="150"/>
              <w:bottom w:type="dxa" w:w="100"/>
              <w:right w:type="dxa" w:w="150"/>
            </w:tcMar>
            <w:vAlign w:val="top"/>
          </w:tcPr>
          <w:p>
            <w:r>
              <w:rPr>
                <w:rFonts w:ascii="Arial" w:cs="Arial" w:eastAsia="Arial" w:hAnsi="Arial"/>
                <w:color w:val="1A1A2E"/>
                <w:sz w:val="22"/>
                <w:szCs w:val="22"/>
              </w:rPr>
              <w:t xml:space="preserve">33.1% of new individual premiums (FY24)</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r>
              <w:rPr>
                <w:rFonts w:ascii="Arial" w:cs="Arial" w:eastAsia="Arial" w:hAnsi="Arial"/>
                <w:b/>
                <w:bCs/>
                <w:color w:val="1E3A5F"/>
                <w:sz w:val="22"/>
                <w:szCs w:val="22"/>
              </w:rPr>
              <w:t xml:space="preserve">First-year commission on ULIP (bank)</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r>
              <w:rPr>
                <w:rFonts w:ascii="Arial" w:cs="Arial" w:eastAsia="Arial" w:hAnsi="Arial"/>
                <w:color w:val="1A1A2E"/>
                <w:sz w:val="22"/>
                <w:szCs w:val="22"/>
              </w:rPr>
              <w:t xml:space="preserve">Up to 65% of premium</w:t>
            </w:r>
          </w:p>
        </w:tc>
      </w:tr>
      <w:tr>
        <w:tc>
          <w:tcPr>
            <w:tcW w:type="dxa" w:w="3500"/>
            <w:tcBorders>
              <w:top w:val="single" w:color="CCCCCC" w:sz="1"/>
              <w:left w:val="single" w:color="CCCCCC" w:sz="1"/>
              <w:bottom w:val="single" w:color="CCCCCC" w:sz="1"/>
              <w:right w:val="single" w:color="CCCCCC" w:sz="1"/>
            </w:tcBorders>
            <w:shd w:fill="F2F4F6" w:val="clear"/>
            <w:tcMar>
              <w:top w:type="dxa" w:w="100"/>
              <w:left w:type="dxa" w:w="150"/>
              <w:bottom w:type="dxa" w:w="100"/>
              <w:right w:type="dxa" w:w="150"/>
            </w:tcMar>
            <w:vAlign w:val="top"/>
          </w:tcPr>
          <w:p>
            <w:r>
              <w:rPr>
                <w:rFonts w:ascii="Arial" w:cs="Arial" w:eastAsia="Arial" w:hAnsi="Arial"/>
                <w:b/>
                <w:bCs/>
                <w:color w:val="1E3A5F"/>
                <w:sz w:val="22"/>
                <w:szCs w:val="22"/>
              </w:rPr>
              <w:t xml:space="preserve">First-year commission on mutual fund</w:t>
            </w:r>
          </w:p>
        </w:tc>
        <w:tc>
          <w:tcPr>
            <w:tcW w:type="dxa" w:w="5860"/>
            <w:tcBorders>
              <w:top w:val="single" w:color="CCCCCC" w:sz="1"/>
              <w:left w:val="single" w:color="CCCCCC" w:sz="1"/>
              <w:bottom w:val="single" w:color="CCCCCC" w:sz="1"/>
              <w:right w:val="single" w:color="CCCCCC" w:sz="1"/>
            </w:tcBorders>
            <w:shd w:fill="F2F4F6" w:val="clear"/>
            <w:tcMar>
              <w:top w:type="dxa" w:w="100"/>
              <w:left w:type="dxa" w:w="150"/>
              <w:bottom w:type="dxa" w:w="100"/>
              <w:right w:type="dxa" w:w="150"/>
            </w:tcMar>
            <w:vAlign w:val="top"/>
          </w:tcPr>
          <w:p>
            <w:r>
              <w:rPr>
                <w:rFonts w:ascii="Arial" w:cs="Arial" w:eastAsia="Arial" w:hAnsi="Arial"/>
                <w:color w:val="1A1A2E"/>
                <w:sz w:val="22"/>
                <w:szCs w:val="22"/>
              </w:rPr>
              <w:t xml:space="preserve">~1% annually</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r>
              <w:rPr>
                <w:rFonts w:ascii="Arial" w:cs="Arial" w:eastAsia="Arial" w:hAnsi="Arial"/>
                <w:b/>
                <w:bCs/>
                <w:color w:val="1E3A5F"/>
                <w:sz w:val="22"/>
                <w:szCs w:val="22"/>
              </w:rPr>
              <w:t xml:space="preserve">IRDAI action on mis-selling</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r>
              <w:rPr>
                <w:rFonts w:ascii="Arial" w:cs="Arial" w:eastAsia="Arial" w:hAnsi="Arial"/>
                <w:color w:val="1A1A2E"/>
                <w:sz w:val="22"/>
                <w:szCs w:val="22"/>
              </w:rPr>
              <w:t xml:space="preserve">'Alarming level' — explicit regulatory language</w:t>
            </w:r>
          </w:p>
        </w:tc>
      </w:tr>
      <w:tr>
        <w:tc>
          <w:tcPr>
            <w:tcW w:type="dxa" w:w="3500"/>
            <w:tcBorders>
              <w:top w:val="single" w:color="CCCCCC" w:sz="1"/>
              <w:left w:val="single" w:color="CCCCCC" w:sz="1"/>
              <w:bottom w:val="single" w:color="CCCCCC" w:sz="1"/>
              <w:right w:val="single" w:color="CCCCCC" w:sz="1"/>
            </w:tcBorders>
            <w:shd w:fill="F2F4F6" w:val="clear"/>
            <w:tcMar>
              <w:top w:type="dxa" w:w="100"/>
              <w:left w:type="dxa" w:w="150"/>
              <w:bottom w:type="dxa" w:w="100"/>
              <w:right w:type="dxa" w:w="150"/>
            </w:tcMar>
            <w:vAlign w:val="top"/>
          </w:tcPr>
          <w:p>
            <w:r>
              <w:rPr>
                <w:rFonts w:ascii="Arial" w:cs="Arial" w:eastAsia="Arial" w:hAnsi="Arial"/>
                <w:b/>
                <w:bCs/>
                <w:color w:val="1E3A5F"/>
                <w:sz w:val="22"/>
                <w:szCs w:val="22"/>
              </w:rPr>
              <w:t xml:space="preserve">Policyholder recourse for mis-selling</w:t>
            </w:r>
          </w:p>
        </w:tc>
        <w:tc>
          <w:tcPr>
            <w:tcW w:type="dxa" w:w="5860"/>
            <w:tcBorders>
              <w:top w:val="single" w:color="CCCCCC" w:sz="1"/>
              <w:left w:val="single" w:color="CCCCCC" w:sz="1"/>
              <w:bottom w:val="single" w:color="CCCCCC" w:sz="1"/>
              <w:right w:val="single" w:color="CCCCCC" w:sz="1"/>
            </w:tcBorders>
            <w:shd w:fill="F2F4F6" w:val="clear"/>
            <w:tcMar>
              <w:top w:type="dxa" w:w="100"/>
              <w:left w:type="dxa" w:w="150"/>
              <w:bottom w:type="dxa" w:w="100"/>
              <w:right w:type="dxa" w:w="150"/>
            </w:tcMar>
            <w:vAlign w:val="top"/>
          </w:tcPr>
          <w:p>
            <w:r>
              <w:rPr>
                <w:rFonts w:ascii="Arial" w:cs="Arial" w:eastAsia="Arial" w:hAnsi="Arial"/>
                <w:color w:val="1A1A2E"/>
                <w:sz w:val="22"/>
                <w:szCs w:val="22"/>
              </w:rPr>
              <w:t xml:space="preserve">Full premium refund in IRDAI-defined cases</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r>
              <w:rPr>
                <w:rFonts w:ascii="Arial" w:cs="Arial" w:eastAsia="Arial" w:hAnsi="Arial"/>
                <w:b/>
                <w:bCs/>
                <w:color w:val="1E3A5F"/>
                <w:sz w:val="22"/>
                <w:szCs w:val="22"/>
              </w:rPr>
              <w:t xml:space="preserve">Lock-in period (most ULIPs)</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r>
              <w:rPr>
                <w:rFonts w:ascii="Arial" w:cs="Arial" w:eastAsia="Arial" w:hAnsi="Arial"/>
                <w:color w:val="1A1A2E"/>
                <w:sz w:val="22"/>
                <w:szCs w:val="22"/>
              </w:rPr>
              <w:t xml:space="preserve">5 years — money trapped</w:t>
            </w:r>
          </w:p>
        </w:tc>
      </w:tr>
      <w:tr>
        <w:tc>
          <w:tcPr>
            <w:tcW w:type="dxa" w:w="3500"/>
            <w:tcBorders>
              <w:top w:val="single" w:color="CCCCCC" w:sz="1"/>
              <w:left w:val="single" w:color="CCCCCC" w:sz="1"/>
              <w:bottom w:val="single" w:color="CCCCCC" w:sz="1"/>
              <w:right w:val="single" w:color="CCCCCC" w:sz="1"/>
            </w:tcBorders>
            <w:shd w:fill="F2F4F6" w:val="clear"/>
            <w:tcMar>
              <w:top w:type="dxa" w:w="100"/>
              <w:left w:type="dxa" w:w="150"/>
              <w:bottom w:type="dxa" w:w="100"/>
              <w:right w:type="dxa" w:w="150"/>
            </w:tcMar>
            <w:vAlign w:val="top"/>
          </w:tcPr>
          <w:p>
            <w:r>
              <w:rPr>
                <w:rFonts w:ascii="Arial" w:cs="Arial" w:eastAsia="Arial" w:hAnsi="Arial"/>
                <w:b/>
                <w:bCs/>
                <w:color w:val="1E3A5F"/>
                <w:sz w:val="22"/>
                <w:szCs w:val="22"/>
              </w:rPr>
              <w:t xml:space="preserve">Typical mis-sold premium range</w:t>
            </w:r>
          </w:p>
        </w:tc>
        <w:tc>
          <w:tcPr>
            <w:tcW w:type="dxa" w:w="5860"/>
            <w:tcBorders>
              <w:top w:val="single" w:color="CCCCCC" w:sz="1"/>
              <w:left w:val="single" w:color="CCCCCC" w:sz="1"/>
              <w:bottom w:val="single" w:color="CCCCCC" w:sz="1"/>
              <w:right w:val="single" w:color="CCCCCC" w:sz="1"/>
            </w:tcBorders>
            <w:shd w:fill="F2F4F6" w:val="clear"/>
            <w:tcMar>
              <w:top w:type="dxa" w:w="100"/>
              <w:left w:type="dxa" w:w="150"/>
              <w:bottom w:type="dxa" w:w="100"/>
              <w:right w:type="dxa" w:w="150"/>
            </w:tcMar>
            <w:vAlign w:val="top"/>
          </w:tcPr>
          <w:p>
            <w:r>
              <w:rPr>
                <w:rFonts w:ascii="Arial" w:cs="Arial" w:eastAsia="Arial" w:hAnsi="Arial"/>
                <w:color w:val="1A1A2E"/>
                <w:sz w:val="22"/>
                <w:szCs w:val="22"/>
              </w:rPr>
              <w:t xml:space="preserve">₹50,000–5,00,000 total premiums paid</w:t>
            </w:r>
          </w:p>
        </w:tc>
      </w:tr>
    </w:tbl>
    <w:p>
      <w:pPr>
        <w:spacing w:after="0" w:before="60"/>
      </w:pPr>
    </w:p>
    <w:p>
      <w:pPr>
        <w:pStyle w:val="Heading2"/>
        <w:spacing w:after="100" w:before="240"/>
      </w:pPr>
      <w:r>
        <w:rPr>
          <w:rFonts w:ascii="Arial" w:cs="Arial" w:eastAsia="Arial" w:hAnsi="Arial"/>
          <w:b/>
          <w:bCs/>
          <w:color w:val="2E86AB"/>
          <w:sz w:val="26"/>
          <w:szCs w:val="26"/>
        </w:rPr>
        <w:t xml:space="preserve">The Product</w:t>
      </w:r>
    </w:p>
    <w:p>
      <w:pPr>
        <w:spacing w:after="80" w:before="160"/>
      </w:pPr>
      <w:r>
        <w:rPr>
          <w:rFonts w:ascii="Arial" w:cs="Arial" w:eastAsia="Arial" w:hAnsi="Arial"/>
          <w:b/>
          <w:bCs/>
          <w:color w:val="1E3A5F"/>
          <w:sz w:val="22"/>
          <w:szCs w:val="22"/>
        </w:rPr>
        <w:t xml:space="preserve">Policy Audit (entry product)</w:t>
      </w:r>
    </w:p>
    <w:p>
      <w:pPr>
        <w:pStyle w:val="ListParagraph"/>
        <w:numPr>
          <w:ilvl w:val="0"/>
          <w:numId w:val="2"/>
        </w:numPr>
        <w:spacing w:after="40" w:before="40"/>
      </w:pPr>
      <w:r>
        <w:rPr>
          <w:rFonts w:ascii="Arial" w:cs="Arial" w:eastAsia="Arial" w:hAnsi="Arial"/>
          <w:color w:val="1A1A2E"/>
          <w:sz w:val="22"/>
          <w:szCs w:val="22"/>
        </w:rPr>
        <w:t xml:space="preserve">User uploads life insurance policy + bank statement showing premium debits</w:t>
      </w:r>
    </w:p>
    <w:p>
      <w:pPr>
        <w:pStyle w:val="ListParagraph"/>
        <w:numPr>
          <w:ilvl w:val="0"/>
          <w:numId w:val="2"/>
        </w:numPr>
        <w:spacing w:after="40" w:before="40"/>
      </w:pPr>
      <w:r>
        <w:rPr>
          <w:rFonts w:ascii="Arial" w:cs="Arial" w:eastAsia="Arial" w:hAnsi="Arial"/>
          <w:color w:val="1A1A2E"/>
          <w:sz w:val="22"/>
          <w:szCs w:val="22"/>
        </w:rPr>
        <w:t xml:space="preserve">AI engine detects mis-selling signals: was this sold as a 'guaranteed return' product? Was the premium deducted without explicit consent? Was the customer shown ULIP documentation at time of sale?</w:t>
      </w:r>
    </w:p>
    <w:p>
      <w:pPr>
        <w:pStyle w:val="ListParagraph"/>
        <w:numPr>
          <w:ilvl w:val="0"/>
          <w:numId w:val="2"/>
        </w:numPr>
        <w:spacing w:after="40" w:before="40"/>
      </w:pPr>
      <w:r>
        <w:rPr>
          <w:rFonts w:ascii="Arial" w:cs="Arial" w:eastAsia="Arial" w:hAnsi="Arial"/>
          <w:color w:val="1A1A2E"/>
          <w:sz w:val="22"/>
          <w:szCs w:val="22"/>
        </w:rPr>
        <w:t xml:space="preserve">Output: Mis-selling Probability Score (0–100) + recommended action</w:t>
      </w:r>
    </w:p>
    <w:p>
      <w:pPr>
        <w:spacing w:after="0" w:before="60"/>
      </w:pPr>
    </w:p>
    <w:p>
      <w:pPr>
        <w:spacing w:after="80" w:before="160"/>
      </w:pPr>
      <w:r>
        <w:rPr>
          <w:rFonts w:ascii="Arial" w:cs="Arial" w:eastAsia="Arial" w:hAnsi="Arial"/>
          <w:b/>
          <w:bCs/>
          <w:color w:val="1E3A5F"/>
          <w:sz w:val="22"/>
          <w:szCs w:val="22"/>
        </w:rPr>
        <w:t xml:space="preserve">Complaint Filing Engine</w:t>
      </w:r>
    </w:p>
    <w:p>
      <w:pPr>
        <w:pStyle w:val="ListParagraph"/>
        <w:numPr>
          <w:ilvl w:val="0"/>
          <w:numId w:val="2"/>
        </w:numPr>
        <w:spacing w:after="40" w:before="40"/>
      </w:pPr>
      <w:r>
        <w:rPr>
          <w:rFonts w:ascii="Arial" w:cs="Arial" w:eastAsia="Arial" w:hAnsi="Arial"/>
          <w:color w:val="1A1A2E"/>
          <w:sz w:val="22"/>
          <w:szCs w:val="22"/>
        </w:rPr>
        <w:t xml:space="preserve">If mis-selling is confirmed: automated complaint drafted for insurer grievance cell, IRDAI Bima Bharosa portal, and Banking Ombudsman (if bank RM is involved)</w:t>
      </w:r>
    </w:p>
    <w:p>
      <w:pPr>
        <w:pStyle w:val="ListParagraph"/>
        <w:numPr>
          <w:ilvl w:val="0"/>
          <w:numId w:val="2"/>
        </w:numPr>
        <w:spacing w:after="40" w:before="40"/>
      </w:pPr>
      <w:r>
        <w:rPr>
          <w:rFonts w:ascii="Arial" w:cs="Arial" w:eastAsia="Arial" w:hAnsi="Arial"/>
          <w:color w:val="1A1A2E"/>
          <w:sz w:val="22"/>
          <w:szCs w:val="22"/>
        </w:rPr>
        <w:t xml:space="preserve">IRDAI mandates 15-day resolution on mis-selling complaints. Platform tracks this and auto-escalates.</w:t>
      </w:r>
    </w:p>
    <w:p>
      <w:pPr>
        <w:pStyle w:val="ListParagraph"/>
        <w:numPr>
          <w:ilvl w:val="0"/>
          <w:numId w:val="2"/>
        </w:numPr>
        <w:spacing w:after="40" w:before="40"/>
      </w:pPr>
      <w:r>
        <w:rPr>
          <w:rFonts w:ascii="Arial" w:cs="Arial" w:eastAsia="Arial" w:hAnsi="Arial"/>
          <w:color w:val="1A1A2E"/>
          <w:sz w:val="22"/>
          <w:szCs w:val="22"/>
        </w:rPr>
        <w:t xml:space="preserve">If insurer refuses: Ombudsman filing (cap raised to ₹50L in 2023) with all supporting documentation</w:t>
      </w:r>
    </w:p>
    <w:p>
      <w:pPr>
        <w:spacing w:after="0" w:before="60"/>
      </w:pPr>
    </w:p>
    <w:p>
      <w:pPr>
        <w:spacing w:after="80" w:before="160"/>
      </w:pPr>
      <w:r>
        <w:rPr>
          <w:rFonts w:ascii="Arial" w:cs="Arial" w:eastAsia="Arial" w:hAnsi="Arial"/>
          <w:b/>
          <w:bCs/>
          <w:color w:val="1E3A5F"/>
          <w:sz w:val="22"/>
          <w:szCs w:val="22"/>
        </w:rPr>
        <w:t xml:space="preserve">Restructuring Advisory</w:t>
      </w:r>
    </w:p>
    <w:p>
      <w:pPr>
        <w:pStyle w:val="ListParagraph"/>
        <w:numPr>
          <w:ilvl w:val="0"/>
          <w:numId w:val="2"/>
        </w:numPr>
        <w:spacing w:after="40" w:before="40"/>
      </w:pPr>
      <w:r>
        <w:rPr>
          <w:rFonts w:ascii="Arial" w:cs="Arial" w:eastAsia="Arial" w:hAnsi="Arial"/>
          <w:color w:val="1A1A2E"/>
          <w:sz w:val="22"/>
          <w:szCs w:val="22"/>
        </w:rPr>
        <w:t xml:space="preserve">For cases where full refund is not possible: surrender analysis (what is the surrender penalty now vs. holding until lock-in end?), 1035 exchange alternatives, reinvestment guidance</w:t>
      </w:r>
    </w:p>
    <w:p>
      <w:pPr>
        <w:pStyle w:val="ListParagraph"/>
        <w:numPr>
          <w:ilvl w:val="0"/>
          <w:numId w:val="2"/>
        </w:numPr>
        <w:spacing w:after="40" w:before="40"/>
      </w:pPr>
      <w:r>
        <w:rPr>
          <w:rFonts w:ascii="Arial" w:cs="Arial" w:eastAsia="Arial" w:hAnsi="Arial"/>
          <w:color w:val="1A1A2E"/>
          <w:sz w:val="22"/>
          <w:szCs w:val="22"/>
        </w:rPr>
        <w:t xml:space="preserve">Referral to appropriate replacement product (broker commission)</w:t>
      </w:r>
    </w:p>
    <w:p>
      <w:pPr>
        <w:spacing w:after="0" w:before="60"/>
      </w:pPr>
    </w:p>
    <w:p>
      <w:pPr>
        <w:pStyle w:val="Heading2"/>
        <w:spacing w:after="100" w:before="240"/>
      </w:pPr>
      <w:r>
        <w:rPr>
          <w:rFonts w:ascii="Arial" w:cs="Arial" w:eastAsia="Arial" w:hAnsi="Arial"/>
          <w:b/>
          <w:bCs/>
          <w:color w:val="2E86AB"/>
          <w:sz w:val="26"/>
          <w:szCs w:val="26"/>
        </w:rPr>
        <w:t xml:space="preserve">Revenue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F2F4F6" w:val="clear"/>
            <w:tcMar>
              <w:top w:type="dxa" w:w="100"/>
              <w:left w:type="dxa" w:w="150"/>
              <w:bottom w:type="dxa" w:w="100"/>
              <w:right w:type="dxa" w:w="150"/>
            </w:tcMar>
            <w:vAlign w:val="top"/>
          </w:tcPr>
          <w:p>
            <w:r>
              <w:rPr>
                <w:rFonts w:ascii="Arial" w:cs="Arial" w:eastAsia="Arial" w:hAnsi="Arial"/>
                <w:b/>
                <w:bCs/>
                <w:color w:val="1E3A5F"/>
                <w:sz w:val="22"/>
                <w:szCs w:val="22"/>
              </w:rPr>
              <w:t xml:space="preserve">Policy audit fee</w:t>
            </w:r>
          </w:p>
        </w:tc>
        <w:tc>
          <w:tcPr>
            <w:tcW w:type="dxa" w:w="5860"/>
            <w:tcBorders>
              <w:top w:val="single" w:color="CCCCCC" w:sz="1"/>
              <w:left w:val="single" w:color="CCCCCC" w:sz="1"/>
              <w:bottom w:val="single" w:color="CCCCCC" w:sz="1"/>
              <w:right w:val="single" w:color="CCCCCC" w:sz="1"/>
            </w:tcBorders>
            <w:shd w:fill="F2F4F6" w:val="clear"/>
            <w:tcMar>
              <w:top w:type="dxa" w:w="100"/>
              <w:left w:type="dxa" w:w="150"/>
              <w:bottom w:type="dxa" w:w="100"/>
              <w:right w:type="dxa" w:w="150"/>
            </w:tcMar>
            <w:vAlign w:val="top"/>
          </w:tcPr>
          <w:p>
            <w:r>
              <w:rPr>
                <w:rFonts w:ascii="Arial" w:cs="Arial" w:eastAsia="Arial" w:hAnsi="Arial"/>
                <w:color w:val="1A1A2E"/>
                <w:sz w:val="22"/>
                <w:szCs w:val="22"/>
              </w:rPr>
              <w:t xml:space="preserve">₹499 per policy analyzed</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r>
              <w:rPr>
                <w:rFonts w:ascii="Arial" w:cs="Arial" w:eastAsia="Arial" w:hAnsi="Arial"/>
                <w:b/>
                <w:bCs/>
                <w:color w:val="1E3A5F"/>
                <w:sz w:val="22"/>
                <w:szCs w:val="22"/>
              </w:rPr>
              <w:t xml:space="preserve">Mis-selling complaint filing fee</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r>
              <w:rPr>
                <w:rFonts w:ascii="Arial" w:cs="Arial" w:eastAsia="Arial" w:hAnsi="Arial"/>
                <w:color w:val="1A1A2E"/>
                <w:sz w:val="22"/>
                <w:szCs w:val="22"/>
              </w:rPr>
              <w:t xml:space="preserve">₹999 flat (separate from success fee)</w:t>
            </w:r>
          </w:p>
        </w:tc>
      </w:tr>
      <w:tr>
        <w:tc>
          <w:tcPr>
            <w:tcW w:type="dxa" w:w="3500"/>
            <w:tcBorders>
              <w:top w:val="single" w:color="CCCCCC" w:sz="1"/>
              <w:left w:val="single" w:color="CCCCCC" w:sz="1"/>
              <w:bottom w:val="single" w:color="CCCCCC" w:sz="1"/>
              <w:right w:val="single" w:color="CCCCCC" w:sz="1"/>
            </w:tcBorders>
            <w:shd w:fill="F2F4F6" w:val="clear"/>
            <w:tcMar>
              <w:top w:type="dxa" w:w="100"/>
              <w:left w:type="dxa" w:w="150"/>
              <w:bottom w:type="dxa" w:w="100"/>
              <w:right w:type="dxa" w:w="150"/>
            </w:tcMar>
            <w:vAlign w:val="top"/>
          </w:tcPr>
          <w:p>
            <w:r>
              <w:rPr>
                <w:rFonts w:ascii="Arial" w:cs="Arial" w:eastAsia="Arial" w:hAnsi="Arial"/>
                <w:b/>
                <w:bCs/>
                <w:color w:val="1E3A5F"/>
                <w:sz w:val="22"/>
                <w:szCs w:val="22"/>
              </w:rPr>
              <w:t xml:space="preserve">Recovery success fee</w:t>
            </w:r>
          </w:p>
        </w:tc>
        <w:tc>
          <w:tcPr>
            <w:tcW w:type="dxa" w:w="5860"/>
            <w:tcBorders>
              <w:top w:val="single" w:color="CCCCCC" w:sz="1"/>
              <w:left w:val="single" w:color="CCCCCC" w:sz="1"/>
              <w:bottom w:val="single" w:color="CCCCCC" w:sz="1"/>
              <w:right w:val="single" w:color="CCCCCC" w:sz="1"/>
            </w:tcBorders>
            <w:shd w:fill="F2F4F6" w:val="clear"/>
            <w:tcMar>
              <w:top w:type="dxa" w:w="100"/>
              <w:left w:type="dxa" w:w="150"/>
              <w:bottom w:type="dxa" w:w="100"/>
              <w:right w:type="dxa" w:w="150"/>
            </w:tcMar>
            <w:vAlign w:val="top"/>
          </w:tcPr>
          <w:p>
            <w:r>
              <w:rPr>
                <w:rFonts w:ascii="Arial" w:cs="Arial" w:eastAsia="Arial" w:hAnsi="Arial"/>
                <w:color w:val="1A1A2E"/>
                <w:sz w:val="22"/>
                <w:szCs w:val="22"/>
              </w:rPr>
              <w:t xml:space="preserve">15% of recovered premiums. On ₹3L premiums = ₹45,000/case</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r>
              <w:rPr>
                <w:rFonts w:ascii="Arial" w:cs="Arial" w:eastAsia="Arial" w:hAnsi="Arial"/>
                <w:b/>
                <w:bCs/>
                <w:color w:val="1E3A5F"/>
                <w:sz w:val="22"/>
                <w:szCs w:val="22"/>
              </w:rPr>
              <w:t xml:space="preserve">Restructuring advisory</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r>
              <w:rPr>
                <w:rFonts w:ascii="Arial" w:cs="Arial" w:eastAsia="Arial" w:hAnsi="Arial"/>
                <w:color w:val="1A1A2E"/>
                <w:sz w:val="22"/>
                <w:szCs w:val="22"/>
              </w:rPr>
              <w:t xml:space="preserve">₹2,000–5,000 flat fee</w:t>
            </w:r>
          </w:p>
        </w:tc>
      </w:tr>
      <w:tr>
        <w:tc>
          <w:tcPr>
            <w:tcW w:type="dxa" w:w="3500"/>
            <w:tcBorders>
              <w:top w:val="single" w:color="CCCCCC" w:sz="1"/>
              <w:left w:val="single" w:color="CCCCCC" w:sz="1"/>
              <w:bottom w:val="single" w:color="CCCCCC" w:sz="1"/>
              <w:right w:val="single" w:color="CCCCCC" w:sz="1"/>
            </w:tcBorders>
            <w:shd w:fill="F2F4F6" w:val="clear"/>
            <w:tcMar>
              <w:top w:type="dxa" w:w="100"/>
              <w:left w:type="dxa" w:w="150"/>
              <w:bottom w:type="dxa" w:w="100"/>
              <w:right w:type="dxa" w:w="150"/>
            </w:tcMar>
            <w:vAlign w:val="top"/>
          </w:tcPr>
          <w:p>
            <w:r>
              <w:rPr>
                <w:rFonts w:ascii="Arial" w:cs="Arial" w:eastAsia="Arial" w:hAnsi="Arial"/>
                <w:b/>
                <w:bCs/>
                <w:color w:val="1E3A5F"/>
                <w:sz w:val="22"/>
                <w:szCs w:val="22"/>
              </w:rPr>
              <w:t xml:space="preserve">Replacement policy commission</w:t>
            </w:r>
          </w:p>
        </w:tc>
        <w:tc>
          <w:tcPr>
            <w:tcW w:type="dxa" w:w="5860"/>
            <w:tcBorders>
              <w:top w:val="single" w:color="CCCCCC" w:sz="1"/>
              <w:left w:val="single" w:color="CCCCCC" w:sz="1"/>
              <w:bottom w:val="single" w:color="CCCCCC" w:sz="1"/>
              <w:right w:val="single" w:color="CCCCCC" w:sz="1"/>
            </w:tcBorders>
            <w:shd w:fill="F2F4F6" w:val="clear"/>
            <w:tcMar>
              <w:top w:type="dxa" w:w="100"/>
              <w:left w:type="dxa" w:w="150"/>
              <w:bottom w:type="dxa" w:w="100"/>
              <w:right w:type="dxa" w:w="150"/>
            </w:tcMar>
            <w:vAlign w:val="top"/>
          </w:tcPr>
          <w:p>
            <w:r>
              <w:rPr>
                <w:rFonts w:ascii="Arial" w:cs="Arial" w:eastAsia="Arial" w:hAnsi="Arial"/>
                <w:color w:val="1A1A2E"/>
                <w:sz w:val="22"/>
                <w:szCs w:val="22"/>
              </w:rPr>
              <w:t xml:space="preserve">Standard broker commission on new product placed</w:t>
            </w:r>
          </w:p>
        </w:tc>
      </w:tr>
    </w:tbl>
    <w:p>
      <w:pPr>
        <w:spacing w:after="0" w:before="60"/>
      </w:pPr>
    </w:p>
    <w:p>
      <w:pPr>
        <w:spacing w:after="60" w:before="60"/>
      </w:pPr>
      <w:r>
        <w:rPr>
          <w:rFonts w:ascii="Arial" w:cs="Arial" w:eastAsia="Arial" w:hAnsi="Arial"/>
          <w:color w:val="1A1A2E"/>
          <w:sz w:val="22"/>
          <w:szCs w:val="22"/>
        </w:rPr>
        <w:t xml:space="preserve">Revenue illustration: 100 cases/month. 60% confirmed mis-selling. 40% successful recovery (regulatory process). Avg premiums ₹2L. Recovery fee = 15% × ₹2L × 40 cases = ₹12L/month from success fees alone. Plus audit fees on all 100 = ₹50K. Plus replacement commissions.</w:t>
      </w:r>
    </w:p>
    <w:p>
      <w:pPr>
        <w:spacing w:after="0" w:before="60"/>
      </w:pPr>
    </w:p>
    <w:p>
      <w:pPr>
        <w:pStyle w:val="Heading2"/>
        <w:spacing w:after="100" w:before="240"/>
      </w:pPr>
      <w:r>
        <w:rPr>
          <w:rFonts w:ascii="Arial" w:cs="Arial" w:eastAsia="Arial" w:hAnsi="Arial"/>
          <w:b/>
          <w:bCs/>
          <w:color w:val="2E86AB"/>
          <w:sz w:val="26"/>
          <w:szCs w:val="26"/>
        </w:rPr>
        <w:t xml:space="preserve">Competitive Moat</w:t>
      </w:r>
    </w:p>
    <w:p>
      <w:pPr>
        <w:pStyle w:val="ListParagraph"/>
        <w:numPr>
          <w:ilvl w:val="0"/>
          <w:numId w:val="2"/>
        </w:numPr>
        <w:spacing w:after="40" w:before="40"/>
      </w:pPr>
      <w:r>
        <w:rPr>
          <w:rFonts w:ascii="Arial" w:cs="Arial" w:eastAsia="Arial" w:hAnsi="Arial"/>
          <w:color w:val="1A1A2E"/>
          <w:sz w:val="22"/>
          <w:szCs w:val="22"/>
        </w:rPr>
        <w:t xml:space="preserve">First-mover in life insurance mis-selling: Insurance Samadhan focuses on health. No one has systematized the life insurance mis-selling complaint process at scale.</w:t>
      </w:r>
    </w:p>
    <w:p>
      <w:pPr>
        <w:pStyle w:val="ListParagraph"/>
        <w:numPr>
          <w:ilvl w:val="0"/>
          <w:numId w:val="2"/>
        </w:numPr>
        <w:spacing w:after="40" w:before="40"/>
      </w:pPr>
      <w:r>
        <w:rPr>
          <w:rFonts w:ascii="Arial" w:cs="Arial" w:eastAsia="Arial" w:hAnsi="Arial"/>
          <w:color w:val="1A1A2E"/>
          <w:sz w:val="22"/>
          <w:szCs w:val="22"/>
        </w:rPr>
        <w:t xml:space="preserve">IRDAI regulatory tailwind: the regulator has explicitly named mis-selling as a priority concern. This is a politically safe and regulatory-aligned product.</w:t>
      </w:r>
    </w:p>
    <w:p>
      <w:pPr>
        <w:pStyle w:val="ListParagraph"/>
        <w:numPr>
          <w:ilvl w:val="0"/>
          <w:numId w:val="2"/>
        </w:numPr>
        <w:spacing w:after="40" w:before="40"/>
      </w:pPr>
      <w:r>
        <w:rPr>
          <w:rFonts w:ascii="Arial" w:cs="Arial" w:eastAsia="Arial" w:hAnsi="Arial"/>
          <w:color w:val="1A1A2E"/>
          <w:sz w:val="22"/>
          <w:szCs w:val="22"/>
        </w:rPr>
        <w:t xml:space="preserve">Mis-selling signal library: every case builds the database of which products, which banks, which RM pitches constitute mis-selling. This pattern library is the moat.</w:t>
      </w:r>
    </w:p>
    <w:p>
      <w:pPr>
        <w:pStyle w:val="ListParagraph"/>
        <w:numPr>
          <w:ilvl w:val="0"/>
          <w:numId w:val="2"/>
        </w:numPr>
        <w:spacing w:after="40" w:before="40"/>
      </w:pPr>
      <w:r>
        <w:rPr>
          <w:rFonts w:ascii="Arial" w:cs="Arial" w:eastAsia="Arial" w:hAnsi="Arial"/>
          <w:color w:val="1A1A2E"/>
          <w:sz w:val="22"/>
          <w:szCs w:val="22"/>
        </w:rPr>
        <w:t xml:space="preserve">Data network effect: with enough cases, the platform can predict mis-selling probability from policy characteristics alone — a screening tool for any uploaded policy.</w:t>
      </w:r>
    </w:p>
    <w:p>
      <w:pPr>
        <w:spacing w:after="0" w:before="60"/>
      </w:pPr>
    </w:p>
    <w:p>
      <w:pPr>
        <w:pStyle w:val="Heading2"/>
        <w:spacing w:after="100" w:before="240"/>
      </w:pPr>
      <w:r>
        <w:rPr>
          <w:rFonts w:ascii="Arial" w:cs="Arial" w:eastAsia="Arial" w:hAnsi="Arial"/>
          <w:b/>
          <w:bCs/>
          <w:color w:val="2E86AB"/>
          <w:sz w:val="26"/>
          <w:szCs w:val="26"/>
        </w:rPr>
        <w:t xml:space="preserve">Risks &amp; Mitigations</w:t>
      </w:r>
    </w:p>
    <w:p>
      <w:pPr>
        <w:pStyle w:val="ListParagraph"/>
        <w:numPr>
          <w:ilvl w:val="0"/>
          <w:numId w:val="2"/>
        </w:numPr>
        <w:spacing w:after="40" w:before="40"/>
      </w:pPr>
      <w:r>
        <w:rPr>
          <w:rFonts w:ascii="Arial" w:cs="Arial" w:eastAsia="Arial" w:hAnsi="Arial"/>
          <w:color w:val="1A1A2E"/>
          <w:sz w:val="22"/>
          <w:szCs w:val="22"/>
        </w:rPr>
        <w:t xml:space="preserve">Regulatory complexity: life insurance mis-selling complaints involve IRDAI, potentially Banking Ombudsman, and sometimes SEBI (for ULIPs with significant investment component). Need multi-regulator expertise.</w:t>
      </w:r>
    </w:p>
    <w:p>
      <w:pPr>
        <w:pStyle w:val="ListParagraph"/>
        <w:numPr>
          <w:ilvl w:val="0"/>
          <w:numId w:val="2"/>
        </w:numPr>
        <w:spacing w:after="40" w:before="40"/>
      </w:pPr>
      <w:r>
        <w:rPr>
          <w:rFonts w:ascii="Arial" w:cs="Arial" w:eastAsia="Arial" w:hAnsi="Arial"/>
          <w:color w:val="1A1A2E"/>
          <w:sz w:val="22"/>
          <w:szCs w:val="22"/>
        </w:rPr>
        <w:t xml:space="preserve">Documentation challenges: proving mis-selling requires evidence of the original sales pitch. If the RM didn't leave a trail, the case is weaker. Must set expectations early.</w:t>
      </w:r>
    </w:p>
    <w:p>
      <w:pPr>
        <w:pStyle w:val="ListParagraph"/>
        <w:numPr>
          <w:ilvl w:val="0"/>
          <w:numId w:val="2"/>
        </w:numPr>
        <w:spacing w:after="40" w:before="40"/>
      </w:pPr>
      <w:r>
        <w:rPr>
          <w:rFonts w:ascii="Arial" w:cs="Arial" w:eastAsia="Arial" w:hAnsi="Arial"/>
          <w:color w:val="1A1A2E"/>
          <w:sz w:val="22"/>
          <w:szCs w:val="22"/>
        </w:rPr>
        <w:t xml:space="preserve">Relationship with banks: building this product will likely invite friction from banking institutions who are the primary mis-sellers. Regulatory protection (IRDAI backing) is essential from the start.</w:t>
      </w:r>
    </w:p>
    <w:p>
      <w:pPr>
        <w:spacing w:after="0" w:before="60"/>
      </w:pPr>
    </w:p>
    <w:p>
      <w:pPr>
        <w:pStyle w:val="Heading2"/>
        <w:spacing w:after="100" w:before="240"/>
      </w:pPr>
      <w:r>
        <w:rPr>
          <w:rFonts w:ascii="Arial" w:cs="Arial" w:eastAsia="Arial" w:hAnsi="Arial"/>
          <w:b/>
          <w:bCs/>
          <w:color w:val="2E86AB"/>
          <w:sz w:val="26"/>
          <w:szCs w:val="26"/>
        </w:rPr>
        <w:t xml:space="preserve">Key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F2F4F6" w:val="clear"/>
            <w:tcMar>
              <w:top w:type="dxa" w:w="100"/>
              <w:left w:type="dxa" w:w="150"/>
              <w:bottom w:type="dxa" w:w="100"/>
              <w:right w:type="dxa" w:w="150"/>
            </w:tcMar>
            <w:vAlign w:val="top"/>
          </w:tcPr>
          <w:p>
            <w:r>
              <w:rPr>
                <w:rFonts w:ascii="Arial" w:cs="Arial" w:eastAsia="Arial" w:hAnsi="Arial"/>
                <w:b/>
                <w:bCs/>
                <w:color w:val="1E3A5F"/>
                <w:sz w:val="22"/>
                <w:szCs w:val="22"/>
              </w:rPr>
              <w:t xml:space="preserve">Month 1 target</w:t>
            </w:r>
          </w:p>
        </w:tc>
        <w:tc>
          <w:tcPr>
            <w:tcW w:type="dxa" w:w="5860"/>
            <w:tcBorders>
              <w:top w:val="single" w:color="CCCCCC" w:sz="1"/>
              <w:left w:val="single" w:color="CCCCCC" w:sz="1"/>
              <w:bottom w:val="single" w:color="CCCCCC" w:sz="1"/>
              <w:right w:val="single" w:color="CCCCCC" w:sz="1"/>
            </w:tcBorders>
            <w:shd w:fill="F2F4F6" w:val="clear"/>
            <w:tcMar>
              <w:top w:type="dxa" w:w="100"/>
              <w:left w:type="dxa" w:w="150"/>
              <w:bottom w:type="dxa" w:w="100"/>
              <w:right w:type="dxa" w:w="150"/>
            </w:tcMar>
            <w:vAlign w:val="top"/>
          </w:tcPr>
          <w:p>
            <w:r>
              <w:rPr>
                <w:rFonts w:ascii="Arial" w:cs="Arial" w:eastAsia="Arial" w:hAnsi="Arial"/>
                <w:color w:val="1A1A2E"/>
                <w:sz w:val="22"/>
                <w:szCs w:val="22"/>
              </w:rPr>
              <w:t xml:space="preserve">20 manual cases. Build mis-selling signal library.</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r>
              <w:rPr>
                <w:rFonts w:ascii="Arial" w:cs="Arial" w:eastAsia="Arial" w:hAnsi="Arial"/>
                <w:b/>
                <w:bCs/>
                <w:color w:val="1E3A5F"/>
                <w:sz w:val="22"/>
                <w:szCs w:val="22"/>
              </w:rPr>
              <w:t xml:space="preserve">Month 3 MRR target</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r>
              <w:rPr>
                <w:rFonts w:ascii="Arial" w:cs="Arial" w:eastAsia="Arial" w:hAnsi="Arial"/>
                <w:color w:val="1A1A2E"/>
                <w:sz w:val="22"/>
                <w:szCs w:val="22"/>
              </w:rPr>
              <w:t xml:space="preserve">₹6L (100 audits + 20 successful recoveries)</w:t>
            </w:r>
          </w:p>
        </w:tc>
      </w:tr>
      <w:tr>
        <w:tc>
          <w:tcPr>
            <w:tcW w:type="dxa" w:w="3500"/>
            <w:tcBorders>
              <w:top w:val="single" w:color="CCCCCC" w:sz="1"/>
              <w:left w:val="single" w:color="CCCCCC" w:sz="1"/>
              <w:bottom w:val="single" w:color="CCCCCC" w:sz="1"/>
              <w:right w:val="single" w:color="CCCCCC" w:sz="1"/>
            </w:tcBorders>
            <w:shd w:fill="F2F4F6" w:val="clear"/>
            <w:tcMar>
              <w:top w:type="dxa" w:w="100"/>
              <w:left w:type="dxa" w:w="150"/>
              <w:bottom w:type="dxa" w:w="100"/>
              <w:right w:type="dxa" w:w="150"/>
            </w:tcMar>
            <w:vAlign w:val="top"/>
          </w:tcPr>
          <w:p>
            <w:r>
              <w:rPr>
                <w:rFonts w:ascii="Arial" w:cs="Arial" w:eastAsia="Arial" w:hAnsi="Arial"/>
                <w:b/>
                <w:bCs/>
                <w:color w:val="1E3A5F"/>
                <w:sz w:val="22"/>
                <w:szCs w:val="22"/>
              </w:rPr>
              <w:t xml:space="preserve">Month 6 MRR target</w:t>
            </w:r>
          </w:p>
        </w:tc>
        <w:tc>
          <w:tcPr>
            <w:tcW w:type="dxa" w:w="5860"/>
            <w:tcBorders>
              <w:top w:val="single" w:color="CCCCCC" w:sz="1"/>
              <w:left w:val="single" w:color="CCCCCC" w:sz="1"/>
              <w:bottom w:val="single" w:color="CCCCCC" w:sz="1"/>
              <w:right w:val="single" w:color="CCCCCC" w:sz="1"/>
            </w:tcBorders>
            <w:shd w:fill="F2F4F6" w:val="clear"/>
            <w:tcMar>
              <w:top w:type="dxa" w:w="100"/>
              <w:left w:type="dxa" w:w="150"/>
              <w:bottom w:type="dxa" w:w="100"/>
              <w:right w:type="dxa" w:w="150"/>
            </w:tcMar>
            <w:vAlign w:val="top"/>
          </w:tcPr>
          <w:p>
            <w:r>
              <w:rPr>
                <w:rFonts w:ascii="Arial" w:cs="Arial" w:eastAsia="Arial" w:hAnsi="Arial"/>
                <w:color w:val="1A1A2E"/>
                <w:sz w:val="22"/>
                <w:szCs w:val="22"/>
              </w:rPr>
              <w:t xml:space="preserve">₹20L (300 audits + 60 recoveries/month)</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r>
              <w:rPr>
                <w:rFonts w:ascii="Arial" w:cs="Arial" w:eastAsia="Arial" w:hAnsi="Arial"/>
                <w:b/>
                <w:bCs/>
                <w:color w:val="1E3A5F"/>
                <w:sz w:val="22"/>
                <w:szCs w:val="22"/>
              </w:rPr>
              <w:t xml:space="preserve">Month 12 MRR target</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r>
              <w:rPr>
                <w:rFonts w:ascii="Arial" w:cs="Arial" w:eastAsia="Arial" w:hAnsi="Arial"/>
                <w:color w:val="1A1A2E"/>
                <w:sz w:val="22"/>
                <w:szCs w:val="22"/>
              </w:rPr>
              <w:t xml:space="preserve">₹50L — becoming the default for ULIP mis-selling in India</w:t>
            </w:r>
          </w:p>
        </w:tc>
      </w:tr>
      <w:tr>
        <w:tc>
          <w:tcPr>
            <w:tcW w:type="dxa" w:w="3500"/>
            <w:tcBorders>
              <w:top w:val="single" w:color="CCCCCC" w:sz="1"/>
              <w:left w:val="single" w:color="CCCCCC" w:sz="1"/>
              <w:bottom w:val="single" w:color="CCCCCC" w:sz="1"/>
              <w:right w:val="single" w:color="CCCCCC" w:sz="1"/>
            </w:tcBorders>
            <w:shd w:fill="F2F4F6" w:val="clear"/>
            <w:tcMar>
              <w:top w:type="dxa" w:w="100"/>
              <w:left w:type="dxa" w:w="150"/>
              <w:bottom w:type="dxa" w:w="100"/>
              <w:right w:type="dxa" w:w="150"/>
            </w:tcMar>
            <w:vAlign w:val="top"/>
          </w:tcPr>
          <w:p>
            <w:r>
              <w:rPr>
                <w:rFonts w:ascii="Arial" w:cs="Arial" w:eastAsia="Arial" w:hAnsi="Arial"/>
                <w:b/>
                <w:bCs/>
                <w:color w:val="1E3A5F"/>
                <w:sz w:val="22"/>
                <w:szCs w:val="22"/>
              </w:rPr>
              <w:t xml:space="preserve">North Star</w:t>
            </w:r>
          </w:p>
        </w:tc>
        <w:tc>
          <w:tcPr>
            <w:tcW w:type="dxa" w:w="5860"/>
            <w:tcBorders>
              <w:top w:val="single" w:color="CCCCCC" w:sz="1"/>
              <w:left w:val="single" w:color="CCCCCC" w:sz="1"/>
              <w:bottom w:val="single" w:color="CCCCCC" w:sz="1"/>
              <w:right w:val="single" w:color="CCCCCC" w:sz="1"/>
            </w:tcBorders>
            <w:shd w:fill="F2F4F6" w:val="clear"/>
            <w:tcMar>
              <w:top w:type="dxa" w:w="100"/>
              <w:left w:type="dxa" w:w="150"/>
              <w:bottom w:type="dxa" w:w="100"/>
              <w:right w:type="dxa" w:w="150"/>
            </w:tcMar>
            <w:vAlign w:val="top"/>
          </w:tcPr>
          <w:p>
            <w:r>
              <w:rPr>
                <w:rFonts w:ascii="Arial" w:cs="Arial" w:eastAsia="Arial" w:hAnsi="Arial"/>
                <w:color w:val="1A1A2E"/>
                <w:sz w:val="22"/>
                <w:szCs w:val="22"/>
              </w:rPr>
              <w:t xml:space="preserve">Premiums recovered for policyholders (₹ total, published monthly)</w:t>
            </w:r>
          </w:p>
        </w:tc>
      </w:tr>
    </w:tbl>
    <w:p>
      <w:pPr>
        <w:spacing w:after="0" w:before="60"/>
      </w:pPr>
    </w:p>
    <w:p>
      <w:pPr>
        <w:pStyle w:val="Heading2"/>
        <w:spacing w:after="100" w:before="240"/>
      </w:pPr>
      <w:r>
        <w:rPr>
          <w:rFonts w:ascii="Arial" w:cs="Arial" w:eastAsia="Arial" w:hAnsi="Arial"/>
          <w:b/>
          <w:bCs/>
          <w:color w:val="2E86AB"/>
          <w:sz w:val="26"/>
          <w:szCs w:val="26"/>
        </w:rPr>
        <w:t xml:space="preserve">First 90 Days</w:t>
      </w:r>
    </w:p>
    <w:p>
      <w:pPr>
        <w:pStyle w:val="ListParagraph"/>
        <w:numPr>
          <w:ilvl w:val="0"/>
          <w:numId w:val="2"/>
        </w:numPr>
        <w:spacing w:after="40" w:before="40"/>
      </w:pPr>
      <w:r>
        <w:rPr>
          <w:rFonts w:ascii="Arial" w:cs="Arial" w:eastAsia="Arial" w:hAnsi="Arial"/>
          <w:color w:val="1A1A2E"/>
          <w:sz w:val="22"/>
          <w:szCs w:val="22"/>
        </w:rPr>
        <w:t xml:space="preserve">Days 1–30: Research IRDAI mis-selling complaint process exhaustively. Do 5 pro-bono cases from network to understand the process end-to-end. Build complaint template library.</w:t>
      </w:r>
    </w:p>
    <w:p>
      <w:pPr>
        <w:pStyle w:val="ListParagraph"/>
        <w:numPr>
          <w:ilvl w:val="0"/>
          <w:numId w:val="2"/>
        </w:numPr>
        <w:spacing w:after="40" w:before="40"/>
      </w:pPr>
      <w:r>
        <w:rPr>
          <w:rFonts w:ascii="Arial" w:cs="Arial" w:eastAsia="Arial" w:hAnsi="Arial"/>
          <w:color w:val="1A1A2E"/>
          <w:sz w:val="22"/>
          <w:szCs w:val="22"/>
        </w:rPr>
        <w:t xml:space="preserve">Days 31–60: Launch ₹499 audit. LinkedIn content campaign: 'Signs your ULIP was mis-sold' — target adult children and young professionals who bought ULIPs at bank.</w:t>
      </w:r>
    </w:p>
    <w:p>
      <w:pPr>
        <w:pStyle w:val="ListParagraph"/>
        <w:numPr>
          <w:ilvl w:val="0"/>
          <w:numId w:val="2"/>
        </w:numPr>
        <w:spacing w:after="40" w:before="40"/>
      </w:pPr>
      <w:r>
        <w:rPr>
          <w:rFonts w:ascii="Arial" w:cs="Arial" w:eastAsia="Arial" w:hAnsi="Arial"/>
          <w:color w:val="1A1A2E"/>
          <w:sz w:val="22"/>
          <w:szCs w:val="22"/>
        </w:rPr>
        <w:t xml:space="preserve">Days 61–90: First 20 recovery cases in-flight. Target first 5 successful refunds. Publish results publicly to build trust. Target ₹6L MRR.</w:t>
      </w:r>
    </w:p>
    <w:p>
      <w:pPr>
        <w:pBdr>
          <w:bottom w:val="single" w:color="2E86AB" w:sz="4" w:space="1"/>
        </w:pBdr>
        <w:spacing w:after="120" w:before="120"/>
      </w:pPr>
    </w:p>
    <w:p>
      <w:r>
        <w:br w:type="page"/>
      </w:r>
    </w:p>
    <w:p>
      <w:pPr>
        <w:pStyle w:val="Heading1"/>
        <w:spacing w:after="160" w:before="320"/>
      </w:pPr>
      <w:r>
        <w:rPr>
          <w:rFonts w:ascii="Arial" w:cs="Arial" w:eastAsia="Arial" w:hAnsi="Arial"/>
          <w:b/>
          <w:bCs/>
          <w:color w:val="1E3A5F"/>
          <w:sz w:val="32"/>
          <w:szCs w:val="32"/>
        </w:rPr>
        <w:t xml:space="preserve">Platform Strategy — How the 8 Ideas Work Together</w:t>
      </w:r>
    </w:p>
    <w:p>
      <w:pPr>
        <w:spacing w:after="60" w:before="60"/>
      </w:pPr>
      <w:r>
        <w:rPr>
          <w:rFonts w:ascii="Arial" w:cs="Arial" w:eastAsia="Arial" w:hAnsi="Arial"/>
          <w:color w:val="1A1A2E"/>
          <w:sz w:val="22"/>
          <w:szCs w:val="22"/>
        </w:rPr>
        <w:t xml:space="preserve">SurakshaSaathi is not 8 separate products. It is one platform with a unified brand promise — 'your protection companion' — expressed across different life stages, income segments, and insurance categories.</w:t>
      </w:r>
    </w:p>
    <w:p>
      <w:pPr>
        <w:spacing w:after="0" w:before="60"/>
      </w:pPr>
    </w:p>
    <w:p>
      <w:pPr>
        <w:pStyle w:val="Heading2"/>
        <w:spacing w:after="100" w:before="240"/>
      </w:pPr>
      <w:r>
        <w:rPr>
          <w:rFonts w:ascii="Arial" w:cs="Arial" w:eastAsia="Arial" w:hAnsi="Arial"/>
          <w:b/>
          <w:bCs/>
          <w:color w:val="2E86AB"/>
          <w:sz w:val="26"/>
          <w:szCs w:val="26"/>
        </w:rPr>
        <w:t xml:space="preserve">The Funnel Architecture</w:t>
      </w:r>
    </w:p>
    <w:p>
      <w:pPr>
        <w:spacing w:after="60" w:before="60"/>
      </w:pPr>
      <w:r>
        <w:rPr>
          <w:rFonts w:ascii="Arial" w:cs="Arial" w:eastAsia="Arial" w:hAnsi="Arial"/>
          <w:color w:val="1A1A2E"/>
          <w:sz w:val="22"/>
          <w:szCs w:val="22"/>
        </w:rPr>
        <w:t xml:space="preserve">Each idea feeds the others:</w:t>
      </w:r>
    </w:p>
    <w:p>
      <w:pPr>
        <w:spacing w:after="0" w:before="60"/>
      </w:pPr>
    </w:p>
    <w:p>
      <w:pPr>
        <w:pStyle w:val="ListParagraph"/>
        <w:numPr>
          <w:ilvl w:val="0"/>
          <w:numId w:val="2"/>
        </w:numPr>
        <w:spacing w:after="40" w:before="40"/>
      </w:pPr>
      <w:r>
        <w:rPr>
          <w:rFonts w:ascii="Arial" w:cs="Arial" w:eastAsia="Arial" w:hAnsi="Arial"/>
          <w:color w:val="1A1A2E"/>
          <w:sz w:val="22"/>
          <w:szCs w:val="22"/>
        </w:rPr>
        <w:t xml:space="preserve">Government Scheme Navigator (Idea 3) is the widest top of funnel — free eligibility checks bring in low-income and senior families who would never pay upfront. Once enrolled in PM-JAY, the natural next step is a top-up policy (Idea 5 or 4).</w:t>
      </w:r>
    </w:p>
    <w:p>
      <w:pPr>
        <w:pStyle w:val="ListParagraph"/>
        <w:numPr>
          <w:ilvl w:val="0"/>
          <w:numId w:val="2"/>
        </w:numPr>
        <w:spacing w:after="40" w:before="40"/>
      </w:pPr>
      <w:r>
        <w:rPr>
          <w:rFonts w:ascii="Arial" w:cs="Arial" w:eastAsia="Arial" w:hAnsi="Arial"/>
          <w:color w:val="1A1A2E"/>
          <w:sz w:val="22"/>
          <w:szCs w:val="22"/>
        </w:rPr>
        <w:t xml:space="preserve">Vernacular Portal (Idea 5) acquires first-time buyers in Tier 2/3. When their claim gets rejected (as 11% of health claims are), they become Claims Advocacy Portal (Idea 1) users.</w:t>
      </w:r>
    </w:p>
    <w:p>
      <w:pPr>
        <w:pStyle w:val="ListParagraph"/>
        <w:numPr>
          <w:ilvl w:val="0"/>
          <w:numId w:val="2"/>
        </w:numPr>
        <w:spacing w:after="40" w:before="40"/>
      </w:pPr>
      <w:r>
        <w:rPr>
          <w:rFonts w:ascii="Arial" w:cs="Arial" w:eastAsia="Arial" w:hAnsi="Arial"/>
          <w:color w:val="1A1A2E"/>
          <w:sz w:val="22"/>
          <w:szCs w:val="22"/>
        </w:rPr>
        <w:t xml:space="preserve">Senior Citizen Portal (Idea 7) and Life Mis-selling Recovery (Idea 8) share infrastructure — the same policy audit engine, the same complaint filing system, the same success-fee model.</w:t>
      </w:r>
    </w:p>
    <w:p>
      <w:pPr>
        <w:pStyle w:val="ListParagraph"/>
        <w:numPr>
          <w:ilvl w:val="0"/>
          <w:numId w:val="2"/>
        </w:numPr>
        <w:spacing w:after="40" w:before="40"/>
      </w:pPr>
      <w:r>
        <w:rPr>
          <w:rFonts w:ascii="Arial" w:cs="Arial" w:eastAsia="Arial" w:hAnsi="Arial"/>
          <w:color w:val="1A1A2E"/>
          <w:sz w:val="22"/>
          <w:szCs w:val="22"/>
        </w:rPr>
        <w:t xml:space="preserve">Policy Health Score (Idea 2) and Family Insurance OS (Idea 4) are complementary — the OS is the wallet, the Score is the advisory layer on top. They can be one product with two views.</w:t>
      </w:r>
    </w:p>
    <w:p>
      <w:pPr>
        <w:pStyle w:val="ListParagraph"/>
        <w:numPr>
          <w:ilvl w:val="0"/>
          <w:numId w:val="2"/>
        </w:numPr>
        <w:spacing w:after="40" w:before="40"/>
      </w:pPr>
      <w:r>
        <w:rPr>
          <w:rFonts w:ascii="Arial" w:cs="Arial" w:eastAsia="Arial" w:hAnsi="Arial"/>
          <w:color w:val="1A1A2E"/>
          <w:sz w:val="22"/>
          <w:szCs w:val="22"/>
        </w:rPr>
        <w:t xml:space="preserve">MSME Navigator (Idea 6) is intentionally separate from the consumer brand — MSME insurance is B2B sales, not B2C trust-building. Consider a separate sub-brand or product line.</w:t>
      </w:r>
    </w:p>
    <w:p>
      <w:pPr>
        <w:spacing w:after="0" w:before="60"/>
      </w:pPr>
    </w:p>
    <w:p>
      <w:pPr>
        <w:pStyle w:val="Heading2"/>
        <w:spacing w:after="100" w:before="240"/>
      </w:pPr>
      <w:r>
        <w:rPr>
          <w:rFonts w:ascii="Arial" w:cs="Arial" w:eastAsia="Arial" w:hAnsi="Arial"/>
          <w:b/>
          <w:bCs/>
          <w:color w:val="2E86AB"/>
          <w:sz w:val="26"/>
          <w:szCs w:val="26"/>
        </w:rPr>
        <w:t xml:space="preserve">Phased Build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vAlign w:val="top"/>
          </w:tcPr>
          <w:p>
            <w:r>
              <w:rPr>
                <w:rFonts w:ascii="Arial" w:cs="Arial" w:eastAsia="Arial" w:hAnsi="Arial"/>
                <w:b/>
                <w:bCs/>
                <w:color w:val="FFFFFF"/>
                <w:sz w:val="22"/>
                <w:szCs w:val="22"/>
              </w:rPr>
              <w:t xml:space="preserve">Phase</w:t>
            </w:r>
          </w:p>
        </w:tc>
        <w:tc>
          <w:tcPr>
            <w:tcW w:type="dxa" w:w="312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vAlign w:val="top"/>
          </w:tcPr>
          <w:p>
            <w:r>
              <w:rPr>
                <w:rFonts w:ascii="Arial" w:cs="Arial" w:eastAsia="Arial" w:hAnsi="Arial"/>
                <w:b/>
                <w:bCs/>
                <w:color w:val="FFFFFF"/>
                <w:sz w:val="22"/>
                <w:szCs w:val="22"/>
              </w:rPr>
              <w:t xml:space="preserve">Ideas to Build</w:t>
            </w:r>
          </w:p>
        </w:tc>
        <w:tc>
          <w:tcPr>
            <w:tcW w:type="dxa" w:w="312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vAlign w:val="top"/>
          </w:tcPr>
          <w:p>
            <w:r>
              <w:rPr>
                <w:rFonts w:ascii="Arial" w:cs="Arial" w:eastAsia="Arial" w:hAnsi="Arial"/>
                <w:b/>
                <w:bCs/>
                <w:color w:val="FFFFFF"/>
                <w:sz w:val="22"/>
                <w:szCs w:val="22"/>
              </w:rPr>
              <w:t xml:space="preserve">Rationale</w:t>
            </w:r>
          </w:p>
        </w:tc>
      </w:tr>
      <w:tr>
        <w:tc>
          <w:tcPr>
            <w:tcW w:type="dxa" w:w="3120"/>
            <w:tcBorders>
              <w:top w:val="single" w:color="CCCCCC" w:sz="1"/>
              <w:left w:val="single" w:color="CCCCCC" w:sz="1"/>
              <w:bottom w:val="single" w:color="CCCCCC" w:sz="1"/>
              <w:right w:val="single" w:color="CCCCCC" w:sz="1"/>
            </w:tcBorders>
            <w:shd w:fill="F2F4F6" w:val="clear"/>
            <w:tcMar>
              <w:top w:type="dxa" w:w="100"/>
              <w:left w:type="dxa" w:w="150"/>
              <w:bottom w:type="dxa" w:w="100"/>
              <w:right w:type="dxa" w:w="150"/>
            </w:tcMar>
            <w:vAlign w:val="top"/>
          </w:tcPr>
          <w:p>
            <w:r>
              <w:rPr>
                <w:rFonts w:ascii="Arial" w:cs="Arial" w:eastAsia="Arial" w:hAnsi="Arial"/>
                <w:color w:val="1A1A2E"/>
                <w:sz w:val="22"/>
                <w:szCs w:val="22"/>
              </w:rPr>
              <w:t xml:space="preserve">Phase 1 (0–6 months)</w:t>
            </w:r>
          </w:p>
        </w:tc>
        <w:tc>
          <w:tcPr>
            <w:tcW w:type="dxa" w:w="3120"/>
            <w:tcBorders>
              <w:top w:val="single" w:color="CCCCCC" w:sz="1"/>
              <w:left w:val="single" w:color="CCCCCC" w:sz="1"/>
              <w:bottom w:val="single" w:color="CCCCCC" w:sz="1"/>
              <w:right w:val="single" w:color="CCCCCC" w:sz="1"/>
            </w:tcBorders>
            <w:shd w:fill="F2F4F6" w:val="clear"/>
            <w:tcMar>
              <w:top w:type="dxa" w:w="100"/>
              <w:left w:type="dxa" w:w="150"/>
              <w:bottom w:type="dxa" w:w="100"/>
              <w:right w:type="dxa" w:w="150"/>
            </w:tcMar>
            <w:vAlign w:val="top"/>
          </w:tcPr>
          <w:p>
            <w:r>
              <w:rPr>
                <w:rFonts w:ascii="Arial" w:cs="Arial" w:eastAsia="Arial" w:hAnsi="Arial"/>
                <w:color w:val="1A1A2E"/>
                <w:sz w:val="22"/>
                <w:szCs w:val="22"/>
              </w:rPr>
              <w:t xml:space="preserve">Ideas 1 + 8 + 7 (core)</w:t>
            </w:r>
          </w:p>
        </w:tc>
        <w:tc>
          <w:tcPr>
            <w:tcW w:type="dxa" w:w="3120"/>
            <w:tcBorders>
              <w:top w:val="single" w:color="CCCCCC" w:sz="1"/>
              <w:left w:val="single" w:color="CCCCCC" w:sz="1"/>
              <w:bottom w:val="single" w:color="CCCCCC" w:sz="1"/>
              <w:right w:val="single" w:color="CCCCCC" w:sz="1"/>
            </w:tcBorders>
            <w:shd w:fill="F2F4F6" w:val="clear"/>
            <w:tcMar>
              <w:top w:type="dxa" w:w="100"/>
              <w:left w:type="dxa" w:w="150"/>
              <w:bottom w:type="dxa" w:w="100"/>
              <w:right w:type="dxa" w:w="150"/>
            </w:tcMar>
            <w:vAlign w:val="top"/>
          </w:tcPr>
          <w:p>
            <w:r>
              <w:rPr>
                <w:rFonts w:ascii="Arial" w:cs="Arial" w:eastAsia="Arial" w:hAnsi="Arial"/>
                <w:color w:val="1A1A2E"/>
                <w:sz w:val="22"/>
                <w:szCs w:val="22"/>
              </w:rPr>
              <w:t xml:space="preserve">Fastest to revenue, highest founder-fit, share claim + mis-selling infrastructure</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r>
              <w:rPr>
                <w:rFonts w:ascii="Arial" w:cs="Arial" w:eastAsia="Arial" w:hAnsi="Arial"/>
                <w:color w:val="1A1A2E"/>
                <w:sz w:val="22"/>
                <w:szCs w:val="22"/>
              </w:rPr>
              <w:t xml:space="preserve">Phase 2 (6–12 months)</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r>
              <w:rPr>
                <w:rFonts w:ascii="Arial" w:cs="Arial" w:eastAsia="Arial" w:hAnsi="Arial"/>
                <w:color w:val="1A1A2E"/>
                <w:sz w:val="22"/>
                <w:szCs w:val="22"/>
              </w:rPr>
              <w:t xml:space="preserve">Ideas 3 + 2 (acquisition + retention)</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r>
              <w:rPr>
                <w:rFonts w:ascii="Arial" w:cs="Arial" w:eastAsia="Arial" w:hAnsi="Arial"/>
                <w:color w:val="1A1A2E"/>
                <w:sz w:val="22"/>
                <w:szCs w:val="22"/>
              </w:rPr>
              <w:t xml:space="preserve">Government scheme navigator builds brand with low-income segment; Policy Health Score retains urban families</w:t>
            </w:r>
          </w:p>
        </w:tc>
      </w:tr>
      <w:tr>
        <w:tc>
          <w:tcPr>
            <w:tcW w:type="dxa" w:w="3120"/>
            <w:tcBorders>
              <w:top w:val="single" w:color="CCCCCC" w:sz="1"/>
              <w:left w:val="single" w:color="CCCCCC" w:sz="1"/>
              <w:bottom w:val="single" w:color="CCCCCC" w:sz="1"/>
              <w:right w:val="single" w:color="CCCCCC" w:sz="1"/>
            </w:tcBorders>
            <w:shd w:fill="F2F4F6" w:val="clear"/>
            <w:tcMar>
              <w:top w:type="dxa" w:w="100"/>
              <w:left w:type="dxa" w:w="150"/>
              <w:bottom w:type="dxa" w:w="100"/>
              <w:right w:type="dxa" w:w="150"/>
            </w:tcMar>
            <w:vAlign w:val="top"/>
          </w:tcPr>
          <w:p>
            <w:r>
              <w:rPr>
                <w:rFonts w:ascii="Arial" w:cs="Arial" w:eastAsia="Arial" w:hAnsi="Arial"/>
                <w:color w:val="1A1A2E"/>
                <w:sz w:val="22"/>
                <w:szCs w:val="22"/>
              </w:rPr>
              <w:t xml:space="preserve">Phase 3 (12–24 months)</w:t>
            </w:r>
          </w:p>
        </w:tc>
        <w:tc>
          <w:tcPr>
            <w:tcW w:type="dxa" w:w="3120"/>
            <w:tcBorders>
              <w:top w:val="single" w:color="CCCCCC" w:sz="1"/>
              <w:left w:val="single" w:color="CCCCCC" w:sz="1"/>
              <w:bottom w:val="single" w:color="CCCCCC" w:sz="1"/>
              <w:right w:val="single" w:color="CCCCCC" w:sz="1"/>
            </w:tcBorders>
            <w:shd w:fill="F2F4F6" w:val="clear"/>
            <w:tcMar>
              <w:top w:type="dxa" w:w="100"/>
              <w:left w:type="dxa" w:w="150"/>
              <w:bottom w:type="dxa" w:w="100"/>
              <w:right w:type="dxa" w:w="150"/>
            </w:tcMar>
            <w:vAlign w:val="top"/>
          </w:tcPr>
          <w:p>
            <w:r>
              <w:rPr>
                <w:rFonts w:ascii="Arial" w:cs="Arial" w:eastAsia="Arial" w:hAnsi="Arial"/>
                <w:color w:val="1A1A2E"/>
                <w:sz w:val="22"/>
                <w:szCs w:val="22"/>
              </w:rPr>
              <w:t xml:space="preserve">Ideas 4 + 5 (scale)</w:t>
            </w:r>
          </w:p>
        </w:tc>
        <w:tc>
          <w:tcPr>
            <w:tcW w:type="dxa" w:w="3120"/>
            <w:tcBorders>
              <w:top w:val="single" w:color="CCCCCC" w:sz="1"/>
              <w:left w:val="single" w:color="CCCCCC" w:sz="1"/>
              <w:bottom w:val="single" w:color="CCCCCC" w:sz="1"/>
              <w:right w:val="single" w:color="CCCCCC" w:sz="1"/>
            </w:tcBorders>
            <w:shd w:fill="F2F4F6" w:val="clear"/>
            <w:tcMar>
              <w:top w:type="dxa" w:w="100"/>
              <w:left w:type="dxa" w:w="150"/>
              <w:bottom w:type="dxa" w:w="100"/>
              <w:right w:type="dxa" w:w="150"/>
            </w:tcMar>
            <w:vAlign w:val="top"/>
          </w:tcPr>
          <w:p>
            <w:r>
              <w:rPr>
                <w:rFonts w:ascii="Arial" w:cs="Arial" w:eastAsia="Arial" w:hAnsi="Arial"/>
                <w:color w:val="1A1A2E"/>
                <w:sz w:val="22"/>
                <w:szCs w:val="22"/>
              </w:rPr>
              <w:t xml:space="preserve">Family OS and vernacular portal require more infrastructure — build when brand and distribution are established</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r>
              <w:rPr>
                <w:rFonts w:ascii="Arial" w:cs="Arial" w:eastAsia="Arial" w:hAnsi="Arial"/>
                <w:color w:val="1A1A2E"/>
                <w:sz w:val="22"/>
                <w:szCs w:val="22"/>
              </w:rPr>
              <w:t xml:space="preserve">Phase 4 (18–30 months)</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r>
              <w:rPr>
                <w:rFonts w:ascii="Arial" w:cs="Arial" w:eastAsia="Arial" w:hAnsi="Arial"/>
                <w:color w:val="1A1A2E"/>
                <w:sz w:val="22"/>
                <w:szCs w:val="22"/>
              </w:rPr>
              <w:t xml:space="preserve">Idea 6 (MSME — separate track)</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r>
              <w:rPr>
                <w:rFonts w:ascii="Arial" w:cs="Arial" w:eastAsia="Arial" w:hAnsi="Arial"/>
                <w:color w:val="1A1A2E"/>
                <w:sz w:val="22"/>
                <w:szCs w:val="22"/>
              </w:rPr>
              <w:t xml:space="preserve">MSME requires specialist advisors and insurer partnerships — run as parallel B2B product line</w:t>
            </w:r>
          </w:p>
        </w:tc>
      </w:tr>
    </w:tbl>
    <w:p>
      <w:pPr>
        <w:spacing w:after="0" w:before="120"/>
      </w:pPr>
    </w:p>
    <w:p>
      <w:pPr>
        <w:pStyle w:val="Heading2"/>
        <w:spacing w:after="100" w:before="240"/>
      </w:pPr>
      <w:r>
        <w:rPr>
          <w:rFonts w:ascii="Arial" w:cs="Arial" w:eastAsia="Arial" w:hAnsi="Arial"/>
          <w:b/>
          <w:bCs/>
          <w:color w:val="2E86AB"/>
          <w:sz w:val="26"/>
          <w:szCs w:val="26"/>
        </w:rPr>
        <w:t xml:space="preserve">Technology Infrastructure (Shared Across Ideas)</w:t>
      </w:r>
    </w:p>
    <w:p>
      <w:pPr>
        <w:pStyle w:val="ListParagraph"/>
        <w:numPr>
          <w:ilvl w:val="0"/>
          <w:numId w:val="2"/>
        </w:numPr>
        <w:spacing w:after="40" w:before="40"/>
      </w:pPr>
      <w:r>
        <w:rPr>
          <w:rFonts w:ascii="Arial" w:cs="Arial" w:eastAsia="Arial" w:hAnsi="Arial"/>
          <w:color w:val="1A1A2E"/>
          <w:sz w:val="22"/>
          <w:szCs w:val="22"/>
        </w:rPr>
        <w:t xml:space="preserve">Document AI: OCR + extraction for policy documents, rejection letters, hospital bills — shared engine across Ideas 1, 4, 7, 8</w:t>
      </w:r>
    </w:p>
    <w:p>
      <w:pPr>
        <w:pStyle w:val="ListParagraph"/>
        <w:numPr>
          <w:ilvl w:val="0"/>
          <w:numId w:val="2"/>
        </w:numPr>
        <w:spacing w:after="40" w:before="40"/>
      </w:pPr>
      <w:r>
        <w:rPr>
          <w:rFonts w:ascii="Arial" w:cs="Arial" w:eastAsia="Arial" w:hAnsi="Arial"/>
          <w:color w:val="1A1A2E"/>
          <w:sz w:val="22"/>
          <w:szCs w:val="22"/>
        </w:rPr>
        <w:t xml:space="preserve">Scheme Database: central repository of all government insurance schemes — powers Idea 3 and the government layer in Idea 7</w:t>
      </w:r>
    </w:p>
    <w:p>
      <w:pPr>
        <w:pStyle w:val="ListParagraph"/>
        <w:numPr>
          <w:ilvl w:val="0"/>
          <w:numId w:val="2"/>
        </w:numPr>
        <w:spacing w:after="40" w:before="40"/>
      </w:pPr>
      <w:r>
        <w:rPr>
          <w:rFonts w:ascii="Arial" w:cs="Arial" w:eastAsia="Arial" w:hAnsi="Arial"/>
          <w:color w:val="1A1A2E"/>
          <w:sz w:val="22"/>
          <w:szCs w:val="22"/>
        </w:rPr>
        <w:t xml:space="preserve">Escalation Engine: letter drafting, deadline tracking, ombudsman filing — shared across Ideas 1, 3, 7, 8</w:t>
      </w:r>
    </w:p>
    <w:p>
      <w:pPr>
        <w:pStyle w:val="ListParagraph"/>
        <w:numPr>
          <w:ilvl w:val="0"/>
          <w:numId w:val="2"/>
        </w:numPr>
        <w:spacing w:after="40" w:before="40"/>
      </w:pPr>
      <w:r>
        <w:rPr>
          <w:rFonts w:ascii="Arial" w:cs="Arial" w:eastAsia="Arial" w:hAnsi="Arial"/>
          <w:color w:val="1A1A2E"/>
          <w:sz w:val="22"/>
          <w:szCs w:val="22"/>
        </w:rPr>
        <w:t xml:space="preserve">Broker License: single IRDAI composite broker or corporate agent registration enables placement revenue across Ideas 2, 4, 5, 6, 7</w:t>
      </w:r>
    </w:p>
    <w:p>
      <w:pPr>
        <w:pStyle w:val="ListParagraph"/>
        <w:numPr>
          <w:ilvl w:val="0"/>
          <w:numId w:val="2"/>
        </w:numPr>
        <w:spacing w:after="40" w:before="40"/>
      </w:pPr>
      <w:r>
        <w:rPr>
          <w:rFonts w:ascii="Arial" w:cs="Arial" w:eastAsia="Arial" w:hAnsi="Arial"/>
          <w:color w:val="1A1A2E"/>
          <w:sz w:val="22"/>
          <w:szCs w:val="22"/>
        </w:rPr>
        <w:t xml:space="preserve">WhatsApp Layer: all consumer-facing journeys accessible via WhatsApp — single integration serves Ideas 1, 3, 5, 7</w:t>
      </w:r>
    </w:p>
    <w:p>
      <w:pPr>
        <w:spacing w:after="0" w:before="120"/>
      </w:pPr>
    </w:p>
    <w:p>
      <w:pPr>
        <w:pStyle w:val="Heading2"/>
        <w:spacing w:after="100" w:before="240"/>
      </w:pPr>
      <w:r>
        <w:rPr>
          <w:rFonts w:ascii="Arial" w:cs="Arial" w:eastAsia="Arial" w:hAnsi="Arial"/>
          <w:b/>
          <w:bCs/>
          <w:color w:val="2E86AB"/>
          <w:sz w:val="26"/>
          <w:szCs w:val="26"/>
        </w:rPr>
        <w:t xml:space="preserve">Regulatory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F2F4F6" w:val="clear"/>
            <w:tcMar>
              <w:top w:type="dxa" w:w="100"/>
              <w:left w:type="dxa" w:w="150"/>
              <w:bottom w:type="dxa" w:w="100"/>
              <w:right w:type="dxa" w:w="150"/>
            </w:tcMar>
            <w:vAlign w:val="top"/>
          </w:tcPr>
          <w:p>
            <w:r>
              <w:rPr>
                <w:rFonts w:ascii="Arial" w:cs="Arial" w:eastAsia="Arial" w:hAnsi="Arial"/>
                <w:b/>
                <w:bCs/>
                <w:color w:val="1E3A5F"/>
                <w:sz w:val="22"/>
                <w:szCs w:val="22"/>
              </w:rPr>
              <w:t xml:space="preserve">Month 1–3</w:t>
            </w:r>
          </w:p>
        </w:tc>
        <w:tc>
          <w:tcPr>
            <w:tcW w:type="dxa" w:w="5860"/>
            <w:tcBorders>
              <w:top w:val="single" w:color="CCCCCC" w:sz="1"/>
              <w:left w:val="single" w:color="CCCCCC" w:sz="1"/>
              <w:bottom w:val="single" w:color="CCCCCC" w:sz="1"/>
              <w:right w:val="single" w:color="CCCCCC" w:sz="1"/>
            </w:tcBorders>
            <w:shd w:fill="F2F4F6" w:val="clear"/>
            <w:tcMar>
              <w:top w:type="dxa" w:w="100"/>
              <w:left w:type="dxa" w:w="150"/>
              <w:bottom w:type="dxa" w:w="100"/>
              <w:right w:type="dxa" w:w="150"/>
            </w:tcMar>
            <w:vAlign w:val="top"/>
          </w:tcPr>
          <w:p>
            <w:r>
              <w:rPr>
                <w:rFonts w:ascii="Arial" w:cs="Arial" w:eastAsia="Arial" w:hAnsi="Arial"/>
                <w:color w:val="1A1A2E"/>
                <w:sz w:val="22"/>
                <w:szCs w:val="22"/>
              </w:rPr>
              <w:t xml:space="preserve">Operate as information and document preparation service — no license required</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r>
              <w:rPr>
                <w:rFonts w:ascii="Arial" w:cs="Arial" w:eastAsia="Arial" w:hAnsi="Arial"/>
                <w:b/>
                <w:bCs/>
                <w:color w:val="1E3A5F"/>
                <w:sz w:val="22"/>
                <w:szCs w:val="22"/>
              </w:rPr>
              <w:t xml:space="preserve">Month 3–6</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r>
              <w:rPr>
                <w:rFonts w:ascii="Arial" w:cs="Arial" w:eastAsia="Arial" w:hAnsi="Arial"/>
                <w:color w:val="1A1A2E"/>
                <w:sz w:val="22"/>
                <w:szCs w:val="22"/>
              </w:rPr>
              <w:t xml:space="preserve">Apply for IRDAI insurance broker (composite) license — enables placement commissions</w:t>
            </w:r>
          </w:p>
        </w:tc>
      </w:tr>
      <w:tr>
        <w:tc>
          <w:tcPr>
            <w:tcW w:type="dxa" w:w="3500"/>
            <w:tcBorders>
              <w:top w:val="single" w:color="CCCCCC" w:sz="1"/>
              <w:left w:val="single" w:color="CCCCCC" w:sz="1"/>
              <w:bottom w:val="single" w:color="CCCCCC" w:sz="1"/>
              <w:right w:val="single" w:color="CCCCCC" w:sz="1"/>
            </w:tcBorders>
            <w:shd w:fill="F2F4F6" w:val="clear"/>
            <w:tcMar>
              <w:top w:type="dxa" w:w="100"/>
              <w:left w:type="dxa" w:w="150"/>
              <w:bottom w:type="dxa" w:w="100"/>
              <w:right w:type="dxa" w:w="150"/>
            </w:tcMar>
            <w:vAlign w:val="top"/>
          </w:tcPr>
          <w:p>
            <w:r>
              <w:rPr>
                <w:rFonts w:ascii="Arial" w:cs="Arial" w:eastAsia="Arial" w:hAnsi="Arial"/>
                <w:b/>
                <w:bCs/>
                <w:color w:val="1E3A5F"/>
                <w:sz w:val="22"/>
                <w:szCs w:val="22"/>
              </w:rPr>
              <w:t xml:space="preserve">Month 6–12</w:t>
            </w:r>
          </w:p>
        </w:tc>
        <w:tc>
          <w:tcPr>
            <w:tcW w:type="dxa" w:w="5860"/>
            <w:tcBorders>
              <w:top w:val="single" w:color="CCCCCC" w:sz="1"/>
              <w:left w:val="single" w:color="CCCCCC" w:sz="1"/>
              <w:bottom w:val="single" w:color="CCCCCC" w:sz="1"/>
              <w:right w:val="single" w:color="CCCCCC" w:sz="1"/>
            </w:tcBorders>
            <w:shd w:fill="F2F4F6" w:val="clear"/>
            <w:tcMar>
              <w:top w:type="dxa" w:w="100"/>
              <w:left w:type="dxa" w:w="150"/>
              <w:bottom w:type="dxa" w:w="100"/>
              <w:right w:type="dxa" w:w="150"/>
            </w:tcMar>
            <w:vAlign w:val="top"/>
          </w:tcPr>
          <w:p>
            <w:r>
              <w:rPr>
                <w:rFonts w:ascii="Arial" w:cs="Arial" w:eastAsia="Arial" w:hAnsi="Arial"/>
                <w:color w:val="1A1A2E"/>
                <w:sz w:val="22"/>
                <w:szCs w:val="22"/>
              </w:rPr>
              <w:t xml:space="preserve">Register as grievance facilitation platform — formal engagement with NHA for government scheme API access</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r>
              <w:rPr>
                <w:rFonts w:ascii="Arial" w:cs="Arial" w:eastAsia="Arial" w:hAnsi="Arial"/>
                <w:b/>
                <w:bCs/>
                <w:color w:val="1E3A5F"/>
                <w:sz w:val="22"/>
                <w:szCs w:val="22"/>
              </w:rPr>
              <w:t xml:space="preserve">Month 12+</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r>
              <w:rPr>
                <w:rFonts w:ascii="Arial" w:cs="Arial" w:eastAsia="Arial" w:hAnsi="Arial"/>
                <w:color w:val="1A1A2E"/>
                <w:sz w:val="22"/>
                <w:szCs w:val="22"/>
              </w:rPr>
              <w:t xml:space="preserve">Explore web aggregator license if comparison features are added; IRDAI Direct Broker for MSME</w:t>
            </w:r>
          </w:p>
        </w:tc>
      </w:tr>
    </w:tbl>
    <w:p>
      <w:r>
        <w:br w:type="page"/>
      </w:r>
    </w:p>
    <w:p>
      <w:pPr>
        <w:spacing w:after="0" w:before="120"/>
      </w:pPr>
    </w:p>
    <w:p>
      <w:pPr>
        <w:jc w:val="center"/>
      </w:pPr>
      <w:r>
        <w:rPr>
          <w:rFonts w:ascii="Arial" w:cs="Arial" w:eastAsia="Arial" w:hAnsi="Arial"/>
          <w:i/>
          <w:iCs/>
          <w:color w:val="888888"/>
          <w:sz w:val="20"/>
          <w:szCs w:val="20"/>
        </w:rPr>
        <w:t xml:space="preserve">— End of Document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E3A5F"/>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2E86A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2026-04-18T10:09:29.682Z</dcterms:created>
  <dcterms:modified xsi:type="dcterms:W3CDTF">2026-04-18T10:09:29.682Z</dcterms:modified>
</cp:coreProperties>
</file>

<file path=docProps/custom.xml><?xml version="1.0" encoding="utf-8"?>
<Properties xmlns="http://schemas.openxmlformats.org/officeDocument/2006/custom-properties" xmlns:vt="http://schemas.openxmlformats.org/officeDocument/2006/docPropsVTypes"/>
</file>