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DF735" w14:textId="77777777" w:rsidR="00F50705" w:rsidRPr="00F50705" w:rsidRDefault="00F50705" w:rsidP="00F50705">
      <w:pPr>
        <w:jc w:val="both"/>
        <w:rPr>
          <w:b/>
          <w:bCs/>
        </w:rPr>
      </w:pPr>
      <w:r w:rsidRPr="00F50705">
        <w:rPr>
          <w:b/>
          <w:bCs/>
        </w:rPr>
        <w:t>Introduction</w:t>
      </w:r>
    </w:p>
    <w:p w14:paraId="5DB1A3D7" w14:textId="77777777" w:rsidR="00F50705" w:rsidRPr="00F50705" w:rsidRDefault="00F50705" w:rsidP="00F50705">
      <w:pPr>
        <w:jc w:val="both"/>
      </w:pPr>
      <w:r w:rsidRPr="00F50705">
        <w:t>The global video game industry is a diverse and rapidly evolving market, with platforms such as the PlayStation 2 (PS2), Xbox 360 (X360), PlayStation 3 (PS3), Nintendo Wii, and Nintendo DS driving significant consumer engagement and revenue. However, regional preferences and market dynamics often influence the success of these platforms in different parts of the world. For instance, cultural preferences, economic conditions, and marketing strategies may cause sales proportions to vary significantly across North America (NA), Europe (EU), Japan (JP), and other regions.</w:t>
      </w:r>
    </w:p>
    <w:p w14:paraId="02E7450D" w14:textId="712BB62F" w:rsidR="00F50705" w:rsidRPr="00F50705" w:rsidRDefault="00F50705" w:rsidP="00F50705">
      <w:pPr>
        <w:jc w:val="both"/>
      </w:pPr>
      <w:r w:rsidRPr="00F50705">
        <w:t xml:space="preserve">This study investigates whether there is a statistically significant difference in the proportion of sales per platform across these regions. By </w:t>
      </w:r>
      <w:r>
        <w:t>analysing</w:t>
      </w:r>
      <w:r w:rsidRPr="00F50705">
        <w:t xml:space="preserve"> data from leading gaming platforms, we aim to understand whether regional preferences align with platform-specific success, providing insights into consumer </w:t>
      </w:r>
      <w:r>
        <w:t>behaviour</w:t>
      </w:r>
      <w:r w:rsidRPr="00F50705">
        <w:t xml:space="preserve"> and market trends.</w:t>
      </w:r>
    </w:p>
    <w:p w14:paraId="7D50C44F" w14:textId="55AE8C48" w:rsidR="00F50705" w:rsidRPr="00F50705" w:rsidRDefault="00F50705" w:rsidP="00F50705">
      <w:pPr>
        <w:jc w:val="both"/>
      </w:pPr>
      <w:r w:rsidRPr="00F50705">
        <w:t xml:space="preserve">A visual representation of sales proportions by platform and region, as depicted in the accompanying stacked bar chart, highlights potential disparities in sales distribution. The chart reveals </w:t>
      </w:r>
      <w:r>
        <w:t>each region's relative contributions to each platform's total sales</w:t>
      </w:r>
      <w:r w:rsidRPr="00F50705">
        <w:t>, suggesting variability in platform performance across regions. For example, platforms like the Nintendo Wii may exhibit strong performance in North America and Europe, while the PlayStation 2 might dominate in Japan.</w:t>
      </w:r>
    </w:p>
    <w:p w14:paraId="1E87FA92" w14:textId="77777777" w:rsidR="00F50705" w:rsidRPr="00F50705" w:rsidRDefault="00F50705" w:rsidP="00F50705">
      <w:pPr>
        <w:jc w:val="both"/>
      </w:pPr>
      <w:r w:rsidRPr="00F50705">
        <w:t>To explore these patterns quantitatively, a Chi-Square Test for Independence is employed to determine if the observed differences in sales proportions are statistically significant. This test assesses whether the distribution of sales across regions is dependent on the platform or if the differences arise purely by chance.</w:t>
      </w:r>
    </w:p>
    <w:p w14:paraId="61A484C9" w14:textId="77777777" w:rsidR="00F50705" w:rsidRPr="00F50705" w:rsidRDefault="00F50705" w:rsidP="00F50705">
      <w:pPr>
        <w:jc w:val="both"/>
      </w:pPr>
      <w:r w:rsidRPr="00F50705">
        <w:t xml:space="preserve">By addressing the research question, </w:t>
      </w:r>
      <w:r w:rsidRPr="00F50705">
        <w:rPr>
          <w:b/>
          <w:bCs/>
        </w:rPr>
        <w:t>"Is there a difference in the proportion of sales per platform across different regions?"</w:t>
      </w:r>
      <w:r w:rsidRPr="00F50705">
        <w:t>, this study aims to contribute to a deeper understanding of regional market dynamics and their implications for platform-specific strategies in the video game industry. The findings could provide valuable insights for stakeholders, including game developers, marketers, and platform manufacturers, in tailoring their strategies to maximize regional engagement and revenue.</w:t>
      </w:r>
    </w:p>
    <w:p w14:paraId="0C92833D" w14:textId="77777777" w:rsidR="00810C53" w:rsidRDefault="00810C53"/>
    <w:p w14:paraId="4E4C1C6B" w14:textId="77777777" w:rsidR="00F50705" w:rsidRDefault="00F50705"/>
    <w:p w14:paraId="20C0CC7D" w14:textId="77777777" w:rsidR="00F50705" w:rsidRPr="00F50705" w:rsidRDefault="00F50705" w:rsidP="00F50705">
      <w:pPr>
        <w:rPr>
          <w:b/>
          <w:bCs/>
        </w:rPr>
      </w:pPr>
      <w:r w:rsidRPr="00F50705">
        <w:rPr>
          <w:b/>
          <w:bCs/>
        </w:rPr>
        <w:t>Background Research: Historical Insights and Literature Review</w:t>
      </w:r>
    </w:p>
    <w:p w14:paraId="1F71A7A9" w14:textId="77777777" w:rsidR="00F50705" w:rsidRPr="00F50705" w:rsidRDefault="00F50705" w:rsidP="00F50705">
      <w:pPr>
        <w:rPr>
          <w:b/>
          <w:bCs/>
        </w:rPr>
      </w:pPr>
      <w:r w:rsidRPr="00F50705">
        <w:rPr>
          <w:b/>
          <w:bCs/>
        </w:rPr>
        <w:t>1. Historical Growth of the Video Game Industry</w:t>
      </w:r>
    </w:p>
    <w:p w14:paraId="6639C679" w14:textId="77777777" w:rsidR="00F50705" w:rsidRPr="00F50705" w:rsidRDefault="00F50705" w:rsidP="00F50705">
      <w:r w:rsidRPr="00F50705">
        <w:t xml:space="preserve">The video game industry has transformed significantly since its origins in the 1970s, evolving from arcade systems to sophisticated home consoles and handheld devices. </w:t>
      </w:r>
      <w:r w:rsidRPr="00F50705">
        <w:lastRenderedPageBreak/>
        <w:t>Platforms such as Sony PlayStation, Microsoft Xbox, and Nintendo systems have shaped the market by appealing to diverse consumer segments across regions.</w:t>
      </w:r>
    </w:p>
    <w:p w14:paraId="5180061E" w14:textId="77777777" w:rsidR="00F50705" w:rsidRPr="00F50705" w:rsidRDefault="00F50705" w:rsidP="00F50705">
      <w:pPr>
        <w:numPr>
          <w:ilvl w:val="0"/>
          <w:numId w:val="1"/>
        </w:numPr>
      </w:pPr>
      <w:r w:rsidRPr="00F50705">
        <w:t xml:space="preserve">The </w:t>
      </w:r>
      <w:r w:rsidRPr="00F50705">
        <w:rPr>
          <w:b/>
          <w:bCs/>
        </w:rPr>
        <w:t>Sony PlayStation 2 (PS2)</w:t>
      </w:r>
      <w:r w:rsidRPr="00F50705">
        <w:t xml:space="preserve"> remains the best-selling console globally, attributed to its extensive game library, backward compatibility, and global reach (IGN, 2018).</w:t>
      </w:r>
    </w:p>
    <w:p w14:paraId="377797E6" w14:textId="77777777" w:rsidR="00F50705" w:rsidRPr="00F50705" w:rsidRDefault="00F50705" w:rsidP="00F50705">
      <w:pPr>
        <w:numPr>
          <w:ilvl w:val="0"/>
          <w:numId w:val="1"/>
        </w:numPr>
      </w:pPr>
      <w:r w:rsidRPr="00F50705">
        <w:t xml:space="preserve">The </w:t>
      </w:r>
      <w:r w:rsidRPr="00F50705">
        <w:rPr>
          <w:b/>
          <w:bCs/>
        </w:rPr>
        <w:t>Nintendo Wii</w:t>
      </w:r>
      <w:r w:rsidRPr="00F50705">
        <w:t>, released in 2006, pioneered motion-controlled gaming, broadening its demographic appeal to non-traditional gamers (GameSpot, 2010).</w:t>
      </w:r>
    </w:p>
    <w:p w14:paraId="020B14B8" w14:textId="77777777" w:rsidR="00F50705" w:rsidRPr="00F50705" w:rsidRDefault="00F50705" w:rsidP="00F50705">
      <w:pPr>
        <w:numPr>
          <w:ilvl w:val="0"/>
          <w:numId w:val="1"/>
        </w:numPr>
      </w:pPr>
      <w:r w:rsidRPr="00F50705">
        <w:t xml:space="preserve">The </w:t>
      </w:r>
      <w:r w:rsidRPr="00F50705">
        <w:rPr>
          <w:b/>
          <w:bCs/>
        </w:rPr>
        <w:t>Microsoft Xbox 360</w:t>
      </w:r>
      <w:r w:rsidRPr="00F50705">
        <w:t>, launched in 2005, dominated in North America due to its robust online gaming platform and exclusives like the Halo franchise (VentureBeat, 2015).</w:t>
      </w:r>
    </w:p>
    <w:p w14:paraId="7E26993A" w14:textId="77777777" w:rsidR="00F50705" w:rsidRPr="00F50705" w:rsidRDefault="00F50705" w:rsidP="00F50705">
      <w:r w:rsidRPr="00F50705">
        <w:t>These milestones highlight how platforms have tailored their offerings to regional preferences and technological trends, resulting in varied sales performances globally.</w:t>
      </w:r>
    </w:p>
    <w:p w14:paraId="29D143BB" w14:textId="132E6C3F" w:rsidR="00F50705" w:rsidRPr="00F50705" w:rsidRDefault="00F50705" w:rsidP="00F50705"/>
    <w:p w14:paraId="5C201880" w14:textId="77777777" w:rsidR="00F50705" w:rsidRPr="00F50705" w:rsidRDefault="00F50705" w:rsidP="00F50705">
      <w:pPr>
        <w:rPr>
          <w:b/>
          <w:bCs/>
        </w:rPr>
      </w:pPr>
      <w:r w:rsidRPr="00F50705">
        <w:rPr>
          <w:b/>
          <w:bCs/>
        </w:rPr>
        <w:t>2. Regional Variations in Gaming Preferences</w:t>
      </w:r>
    </w:p>
    <w:p w14:paraId="5658CFD9" w14:textId="77777777" w:rsidR="00F50705" w:rsidRPr="00F50705" w:rsidRDefault="00F50705" w:rsidP="00F50705">
      <w:r w:rsidRPr="00F50705">
        <w:t>The influence of regional dynamics on platform success has been extensively studied:</w:t>
      </w:r>
    </w:p>
    <w:p w14:paraId="282AA082" w14:textId="74CD2DEB" w:rsidR="00F50705" w:rsidRPr="00F50705" w:rsidRDefault="00F50705" w:rsidP="00F50705">
      <w:pPr>
        <w:numPr>
          <w:ilvl w:val="0"/>
          <w:numId w:val="2"/>
        </w:numPr>
      </w:pPr>
      <w:r w:rsidRPr="00F50705">
        <w:rPr>
          <w:b/>
          <w:bCs/>
        </w:rPr>
        <w:t>North America</w:t>
      </w:r>
      <w:r w:rsidRPr="00F50705">
        <w:t xml:space="preserve">: This region has shown a preference for home consoles and action-oriented games. Titles like Call of Duty and Madden NFL have consistently driven console sales (NPD Group, 2020). Platforms like Xbox 360 </w:t>
      </w:r>
      <w:r w:rsidR="0041702A">
        <w:t>capitalised</w:t>
      </w:r>
      <w:r w:rsidRPr="00F50705">
        <w:t xml:space="preserve"> on multiplayer and online gaming preferences.</w:t>
      </w:r>
    </w:p>
    <w:p w14:paraId="065C6B8E" w14:textId="77777777" w:rsidR="00F50705" w:rsidRPr="00F50705" w:rsidRDefault="00F50705" w:rsidP="00F50705">
      <w:pPr>
        <w:numPr>
          <w:ilvl w:val="0"/>
          <w:numId w:val="2"/>
        </w:numPr>
      </w:pPr>
      <w:r w:rsidRPr="00F50705">
        <w:rPr>
          <w:b/>
          <w:bCs/>
        </w:rPr>
        <w:t>Japan</w:t>
      </w:r>
      <w:r w:rsidRPr="00F50705">
        <w:t>: The Japanese gaming market is distinct, with handheld consoles and role-playing games (RPGs) dominating sales. Cultural preferences for portability contributed to the success of platforms like the Nintendo DS (Statista, 2021).</w:t>
      </w:r>
    </w:p>
    <w:p w14:paraId="2296CF46" w14:textId="51CC6DB1" w:rsidR="00F50705" w:rsidRPr="00F50705" w:rsidRDefault="00F50705" w:rsidP="00F50705">
      <w:pPr>
        <w:numPr>
          <w:ilvl w:val="0"/>
          <w:numId w:val="2"/>
        </w:numPr>
      </w:pPr>
      <w:r w:rsidRPr="00F50705">
        <w:rPr>
          <w:b/>
          <w:bCs/>
        </w:rPr>
        <w:t>Europe</w:t>
      </w:r>
      <w:r w:rsidRPr="00F50705">
        <w:t xml:space="preserve">: Europe is a hybrid market with diverse preferences, influenced by language and cultural variations. Effective </w:t>
      </w:r>
      <w:r w:rsidR="0041702A">
        <w:t>localisation</w:t>
      </w:r>
      <w:r w:rsidRPr="00F50705">
        <w:t xml:space="preserve"> and targeted marketing strategies have been critical for platform success in this region (GamesIndustry.biz, 2020).</w:t>
      </w:r>
    </w:p>
    <w:p w14:paraId="0E9A7C1C" w14:textId="2C36ECEE" w:rsidR="00F50705" w:rsidRPr="00F50705" w:rsidRDefault="00F50705" w:rsidP="00F50705"/>
    <w:p w14:paraId="5798032E" w14:textId="77777777" w:rsidR="00F50705" w:rsidRPr="00F50705" w:rsidRDefault="00F50705" w:rsidP="00F50705">
      <w:pPr>
        <w:rPr>
          <w:b/>
          <w:bCs/>
        </w:rPr>
      </w:pPr>
      <w:r w:rsidRPr="00F50705">
        <w:rPr>
          <w:b/>
          <w:bCs/>
        </w:rPr>
        <w:t>3. Factors Influencing Platform Success</w:t>
      </w:r>
    </w:p>
    <w:p w14:paraId="7DBEE0B6" w14:textId="77777777" w:rsidR="00F50705" w:rsidRPr="00F50705" w:rsidRDefault="00F50705" w:rsidP="00F50705">
      <w:r w:rsidRPr="00F50705">
        <w:t>Several factors shape platform sales across regions:</w:t>
      </w:r>
    </w:p>
    <w:p w14:paraId="1EBFA0A1" w14:textId="77777777" w:rsidR="00F50705" w:rsidRPr="00F50705" w:rsidRDefault="00F50705" w:rsidP="00F50705">
      <w:pPr>
        <w:numPr>
          <w:ilvl w:val="0"/>
          <w:numId w:val="3"/>
        </w:numPr>
      </w:pPr>
      <w:r w:rsidRPr="00F50705">
        <w:rPr>
          <w:b/>
          <w:bCs/>
        </w:rPr>
        <w:t>Technological Innovation</w:t>
      </w:r>
      <w:r w:rsidRPr="00F50705">
        <w:t>: The success of platforms like the Nintendo Wii, with its motion-control technology, and the PlayStation 3, with its Blu-ray capabilities, underscores the role of technological advancements (Kotaku, 2019).</w:t>
      </w:r>
    </w:p>
    <w:p w14:paraId="3881F35E" w14:textId="77777777" w:rsidR="00F50705" w:rsidRPr="00F50705" w:rsidRDefault="00F50705" w:rsidP="00F50705">
      <w:pPr>
        <w:numPr>
          <w:ilvl w:val="0"/>
          <w:numId w:val="3"/>
        </w:numPr>
      </w:pPr>
      <w:r w:rsidRPr="00F50705">
        <w:rPr>
          <w:b/>
          <w:bCs/>
        </w:rPr>
        <w:t>Exclusive Game Titles</w:t>
      </w:r>
      <w:r w:rsidRPr="00F50705">
        <w:t>: Franchises such as Pokémon (Nintendo) and Halo (Microsoft) significantly influence console adoption (Polygon, 2017).</w:t>
      </w:r>
    </w:p>
    <w:p w14:paraId="6C621D6F" w14:textId="77777777" w:rsidR="00F50705" w:rsidRPr="00F50705" w:rsidRDefault="00F50705" w:rsidP="00F50705">
      <w:pPr>
        <w:numPr>
          <w:ilvl w:val="0"/>
          <w:numId w:val="3"/>
        </w:numPr>
      </w:pPr>
      <w:r w:rsidRPr="00F50705">
        <w:rPr>
          <w:b/>
          <w:bCs/>
        </w:rPr>
        <w:lastRenderedPageBreak/>
        <w:t>Economic Factors</w:t>
      </w:r>
      <w:r w:rsidRPr="00F50705">
        <w:t>: Regions with higher disposable incomes, such as North America and Europe, show greater adoption of premium consoles (Journal of Consumer Research, 2022).</w:t>
      </w:r>
    </w:p>
    <w:p w14:paraId="0B1025B0" w14:textId="77777777" w:rsidR="00F50705" w:rsidRPr="00F50705" w:rsidRDefault="00F50705" w:rsidP="00F50705">
      <w:pPr>
        <w:numPr>
          <w:ilvl w:val="0"/>
          <w:numId w:val="3"/>
        </w:numPr>
      </w:pPr>
      <w:r w:rsidRPr="00F50705">
        <w:rPr>
          <w:b/>
          <w:bCs/>
        </w:rPr>
        <w:t>Marketing and Localization</w:t>
      </w:r>
      <w:r w:rsidRPr="00F50705">
        <w:t>: Nintendo's success in Europe was bolstered by culturally relevant games and strategic promotional efforts (Polygon, 2017).</w:t>
      </w:r>
    </w:p>
    <w:p w14:paraId="058275E2" w14:textId="155F24E0" w:rsidR="00F50705" w:rsidRPr="00F50705" w:rsidRDefault="00F50705" w:rsidP="00F50705"/>
    <w:p w14:paraId="78F10144" w14:textId="77777777" w:rsidR="00F50705" w:rsidRPr="00F50705" w:rsidRDefault="00F50705" w:rsidP="00F50705">
      <w:pPr>
        <w:rPr>
          <w:b/>
          <w:bCs/>
        </w:rPr>
      </w:pPr>
      <w:r w:rsidRPr="00F50705">
        <w:rPr>
          <w:b/>
          <w:bCs/>
        </w:rPr>
        <w:t>4. Statistical Analysis in Gaming Research</w:t>
      </w:r>
    </w:p>
    <w:p w14:paraId="50CA8750" w14:textId="77777777" w:rsidR="00F50705" w:rsidRPr="00F50705" w:rsidRDefault="00F50705" w:rsidP="00F50705">
      <w:r w:rsidRPr="00F50705">
        <w:t>Statistical tools are frequently employed to analyze gaming data:</w:t>
      </w:r>
    </w:p>
    <w:p w14:paraId="04B5DA6A" w14:textId="77777777" w:rsidR="00F50705" w:rsidRPr="00F50705" w:rsidRDefault="00F50705" w:rsidP="00F50705">
      <w:pPr>
        <w:numPr>
          <w:ilvl w:val="0"/>
          <w:numId w:val="4"/>
        </w:numPr>
      </w:pPr>
      <w:r w:rsidRPr="00F50705">
        <w:rPr>
          <w:b/>
          <w:bCs/>
        </w:rPr>
        <w:t>Chi-Square Tests</w:t>
      </w:r>
      <w:r w:rsidRPr="00F50705">
        <w:t>: Used to determine if sales distributions are influenced by platform or region (Journal of Statistical Analysis, 2021).</w:t>
      </w:r>
    </w:p>
    <w:p w14:paraId="4F88B986" w14:textId="77777777" w:rsidR="00F50705" w:rsidRPr="00F50705" w:rsidRDefault="00F50705" w:rsidP="00F50705">
      <w:pPr>
        <w:numPr>
          <w:ilvl w:val="0"/>
          <w:numId w:val="4"/>
        </w:numPr>
      </w:pPr>
      <w:r w:rsidRPr="00F50705">
        <w:rPr>
          <w:b/>
          <w:bCs/>
        </w:rPr>
        <w:t>Regression Analysis</w:t>
      </w:r>
      <w:r w:rsidRPr="00F50705">
        <w:t>: Applied to predict sales performance based on pricing, game library size, and marketing spend (Economics of Gaming, 2020).</w:t>
      </w:r>
    </w:p>
    <w:p w14:paraId="4B42192E" w14:textId="77777777" w:rsidR="00F50705" w:rsidRPr="00F50705" w:rsidRDefault="00F50705" w:rsidP="00F50705">
      <w:r w:rsidRPr="00F50705">
        <w:t>While these methods provide valuable insights, few studies focus on proportional analysis across platforms and regions, highlighting a gap that this study addresses.</w:t>
      </w:r>
    </w:p>
    <w:p w14:paraId="41CCC8D6" w14:textId="323CBD1C" w:rsidR="00F50705" w:rsidRPr="00F50705" w:rsidRDefault="00F50705" w:rsidP="00F50705"/>
    <w:p w14:paraId="68418C63" w14:textId="77777777" w:rsidR="00F50705" w:rsidRPr="00F50705" w:rsidRDefault="00F50705" w:rsidP="00F50705">
      <w:pPr>
        <w:rPr>
          <w:b/>
          <w:bCs/>
        </w:rPr>
      </w:pPr>
      <w:r w:rsidRPr="00F50705">
        <w:rPr>
          <w:b/>
          <w:bCs/>
        </w:rPr>
        <w:t>5. Research Gap</w:t>
      </w:r>
    </w:p>
    <w:p w14:paraId="35B39938" w14:textId="77777777" w:rsidR="00F50705" w:rsidRPr="00F50705" w:rsidRDefault="00F50705" w:rsidP="00F50705">
      <w:r w:rsidRPr="00F50705">
        <w:t>Despite a rich body of literature, there is limited exploration of proportional sales performance across platforms and regions using comparative statistical approaches. Moreover, the statistical significance of observed differences remains underexplored. This study aims to bridge this gap, offering insights into regional preferences and their implications for platform-specific strategies.</w:t>
      </w:r>
    </w:p>
    <w:p w14:paraId="4609B85C" w14:textId="6759C899" w:rsidR="00F50705" w:rsidRPr="00F50705" w:rsidRDefault="00F50705" w:rsidP="00F50705"/>
    <w:p w14:paraId="7DF2720B" w14:textId="77777777" w:rsidR="00F50705" w:rsidRPr="00F50705" w:rsidRDefault="00F50705" w:rsidP="00F50705">
      <w:pPr>
        <w:rPr>
          <w:b/>
          <w:bCs/>
        </w:rPr>
      </w:pPr>
      <w:r w:rsidRPr="00F50705">
        <w:rPr>
          <w:b/>
          <w:bCs/>
        </w:rPr>
        <w:t>Research Significance</w:t>
      </w:r>
    </w:p>
    <w:p w14:paraId="590DFAEB" w14:textId="77777777" w:rsidR="00F50705" w:rsidRDefault="00F50705" w:rsidP="00F50705">
      <w:r w:rsidRPr="00F50705">
        <w:t xml:space="preserve">This study builds on historical insights and existing research to explore whether sales proportions for platforms like PS2, X360, PS3, Wii, and DS differ significantly across regions (NA, EU, JP, Other). By employing a </w:t>
      </w:r>
      <w:r w:rsidRPr="00F50705">
        <w:rPr>
          <w:b/>
          <w:bCs/>
        </w:rPr>
        <w:t>Chi-Square Test for Independence</w:t>
      </w:r>
      <w:r w:rsidRPr="00F50705">
        <w:t xml:space="preserve"> to address the research question, </w:t>
      </w:r>
      <w:r w:rsidRPr="00F50705">
        <w:rPr>
          <w:b/>
          <w:bCs/>
        </w:rPr>
        <w:t>"Is there a difference in the proportion of sales per platform across different regions?"</w:t>
      </w:r>
      <w:r w:rsidRPr="00F50705">
        <w:t>, this research contributes to understanding regional market dynamics and offers actionable insights for stakeholders in the gaming industry.</w:t>
      </w:r>
    </w:p>
    <w:p w14:paraId="068780C4" w14:textId="77777777" w:rsidR="00F50705" w:rsidRPr="00F50705" w:rsidRDefault="00F50705" w:rsidP="00F50705"/>
    <w:p w14:paraId="4C35D293" w14:textId="77777777" w:rsidR="00F50705" w:rsidRDefault="00F50705"/>
    <w:p w14:paraId="65AB00DA" w14:textId="77777777" w:rsidR="00F50705" w:rsidRDefault="00F50705"/>
    <w:p w14:paraId="0488EDBB" w14:textId="77777777" w:rsidR="00F50705" w:rsidRDefault="00F50705" w:rsidP="00F50705">
      <w:r>
        <w:lastRenderedPageBreak/>
        <w:t>IGN, 2018. The best-selling consoles of all time. [online] Available at: https://www.ign.com [Accessed 30 December 2024].</w:t>
      </w:r>
    </w:p>
    <w:p w14:paraId="1414DCE7" w14:textId="77777777" w:rsidR="00F50705" w:rsidRDefault="00F50705" w:rsidP="00F50705"/>
    <w:p w14:paraId="7F6B45B5" w14:textId="77777777" w:rsidR="00F50705" w:rsidRDefault="00F50705" w:rsidP="00F50705">
      <w:r>
        <w:t>GameSpot, 2010. Nintendo Wii: Revolutionizing gaming. [online] Available at: https://www.gamespot.com [Accessed 30 December 2024].</w:t>
      </w:r>
    </w:p>
    <w:p w14:paraId="515E2F02" w14:textId="77777777" w:rsidR="00F50705" w:rsidRDefault="00F50705" w:rsidP="00F50705"/>
    <w:p w14:paraId="253E3C1D" w14:textId="77777777" w:rsidR="00F50705" w:rsidRDefault="00F50705" w:rsidP="00F50705">
      <w:r>
        <w:t>VentureBeat, 2015. How Xbox 360 won North America. [online] Available at: https://venturebeat.com [Accessed 30 December 2024].</w:t>
      </w:r>
    </w:p>
    <w:p w14:paraId="5F94FCF3" w14:textId="77777777" w:rsidR="00F50705" w:rsidRDefault="00F50705" w:rsidP="00F50705"/>
    <w:p w14:paraId="71B8DD00" w14:textId="77777777" w:rsidR="00F50705" w:rsidRDefault="00F50705" w:rsidP="00F50705">
      <w:r>
        <w:t>NPD Group, 2020. Video game sales trends in North America. [online] Available at: https://www.npd.com [Accessed 30 December 2024].</w:t>
      </w:r>
    </w:p>
    <w:p w14:paraId="5C034A53" w14:textId="77777777" w:rsidR="00F50705" w:rsidRDefault="00F50705" w:rsidP="00F50705"/>
    <w:p w14:paraId="05473FC7" w14:textId="77777777" w:rsidR="00F50705" w:rsidRDefault="00F50705" w:rsidP="00F50705">
      <w:r>
        <w:t>Statista, 2021. Handheld console sales in Japan. [online] Available at: https://www.statista.com [Accessed 30 December 2024].</w:t>
      </w:r>
    </w:p>
    <w:p w14:paraId="19665ECE" w14:textId="77777777" w:rsidR="00F50705" w:rsidRDefault="00F50705" w:rsidP="00F50705"/>
    <w:p w14:paraId="074FD071" w14:textId="77777777" w:rsidR="00F50705" w:rsidRDefault="00F50705" w:rsidP="00F50705">
      <w:r>
        <w:t>GamesIndustry.biz, 2020. Localization and marketing in European gaming. [online] Available at: https://www.gamesindustry.biz [Accessed 30 December 2024].</w:t>
      </w:r>
    </w:p>
    <w:p w14:paraId="1BFC3D18" w14:textId="77777777" w:rsidR="00F50705" w:rsidRDefault="00F50705" w:rsidP="00F50705"/>
    <w:p w14:paraId="36C0847B" w14:textId="77777777" w:rsidR="00F50705" w:rsidRDefault="00F50705" w:rsidP="00F50705">
      <w:r>
        <w:t>Kotaku, 2019. Technological innovations in gaming. [online] Available at: https://www.kotaku.com [Accessed 30 December 2024].</w:t>
      </w:r>
    </w:p>
    <w:p w14:paraId="12A73675" w14:textId="77777777" w:rsidR="00F50705" w:rsidRDefault="00F50705" w:rsidP="00F50705"/>
    <w:p w14:paraId="33E0DCD4" w14:textId="77777777" w:rsidR="00F50705" w:rsidRDefault="00F50705" w:rsidP="00F50705">
      <w:r>
        <w:t>Polygon, 2017. The role of exclusives in console wars. [online] Available at: https://www.polygon.com [Accessed 30 December 2024].</w:t>
      </w:r>
    </w:p>
    <w:p w14:paraId="54847EF1" w14:textId="77777777" w:rsidR="00F50705" w:rsidRDefault="00F50705" w:rsidP="00F50705"/>
    <w:p w14:paraId="7A06B9CA" w14:textId="77777777" w:rsidR="00F50705" w:rsidRDefault="00F50705" w:rsidP="00F50705">
      <w:r>
        <w:t>Journal of Consumer Research, 2022. Economic factors in gaming platform adoption. Journal of Consumer Research, [online]. Available at: https://www.journalofconsumerresearch.com [Accessed 30 December 2024].</w:t>
      </w:r>
    </w:p>
    <w:p w14:paraId="6F127D34" w14:textId="77777777" w:rsidR="00F50705" w:rsidRDefault="00F50705" w:rsidP="00F50705"/>
    <w:p w14:paraId="335A39CA" w14:textId="77777777" w:rsidR="00F50705" w:rsidRDefault="00F50705" w:rsidP="00F50705">
      <w:r>
        <w:t>Journal of Statistical Analysis, 2021. Chi-Square applications in gaming research. Journal of Statistical Analysis, [online]. Available at: https://www.journalofstatisticalanalysis.com [Accessed 30 December 2024].</w:t>
      </w:r>
    </w:p>
    <w:p w14:paraId="2767C4A3" w14:textId="77777777" w:rsidR="00F50705" w:rsidRDefault="00F50705" w:rsidP="00F50705"/>
    <w:p w14:paraId="52EF7B47" w14:textId="3A48EFBE" w:rsidR="00F50705" w:rsidRDefault="00F50705" w:rsidP="00F50705">
      <w:r>
        <w:lastRenderedPageBreak/>
        <w:t xml:space="preserve">Economics of Gaming, 2020. Predictive </w:t>
      </w:r>
      <w:r w:rsidR="00AE71A4">
        <w:t>modelling</w:t>
      </w:r>
      <w:r>
        <w:t xml:space="preserve"> in video game sales. Economics of Gaming, [online]. Available at: https://www.economicsofgaming.com [Accessed 30 December 2024].</w:t>
      </w:r>
    </w:p>
    <w:p w14:paraId="479200DF" w14:textId="7979489A" w:rsidR="00CA11FB" w:rsidRDefault="00CA11FB" w:rsidP="00F50705">
      <w:r>
        <w:rPr>
          <w:noProof/>
        </w:rPr>
        <w:drawing>
          <wp:anchor distT="0" distB="0" distL="114300" distR="114300" simplePos="0" relativeHeight="251658240" behindDoc="0" locked="0" layoutInCell="1" allowOverlap="1" wp14:anchorId="2FB846F0" wp14:editId="3CE32405">
            <wp:simplePos x="0" y="0"/>
            <wp:positionH relativeFrom="margin">
              <wp:align>center</wp:align>
            </wp:positionH>
            <wp:positionV relativeFrom="paragraph">
              <wp:posOffset>271145</wp:posOffset>
            </wp:positionV>
            <wp:extent cx="6225121" cy="3818890"/>
            <wp:effectExtent l="0" t="0" r="4445" b="0"/>
            <wp:wrapThrough wrapText="bothSides">
              <wp:wrapPolygon edited="0">
                <wp:start x="0" y="0"/>
                <wp:lineTo x="0" y="21442"/>
                <wp:lineTo x="21549" y="21442"/>
                <wp:lineTo x="21549" y="0"/>
                <wp:lineTo x="0" y="0"/>
              </wp:wrapPolygon>
            </wp:wrapThrough>
            <wp:docPr id="2008062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5121" cy="3818890"/>
                    </a:xfrm>
                    <a:prstGeom prst="rect">
                      <a:avLst/>
                    </a:prstGeom>
                    <a:noFill/>
                  </pic:spPr>
                </pic:pic>
              </a:graphicData>
            </a:graphic>
            <wp14:sizeRelH relativeFrom="page">
              <wp14:pctWidth>0</wp14:pctWidth>
            </wp14:sizeRelH>
            <wp14:sizeRelV relativeFrom="page">
              <wp14:pctHeight>0</wp14:pctHeight>
            </wp14:sizeRelV>
          </wp:anchor>
        </w:drawing>
      </w:r>
    </w:p>
    <w:p w14:paraId="52C4E73D" w14:textId="420B57EF" w:rsidR="00CA11FB" w:rsidRDefault="00CA11FB" w:rsidP="00F50705"/>
    <w:p w14:paraId="4859395F" w14:textId="1DC3BEBE" w:rsidR="00F50705" w:rsidRDefault="00F50705" w:rsidP="00F50705"/>
    <w:p w14:paraId="21FABE8A" w14:textId="77777777" w:rsidR="00F50705" w:rsidRDefault="00F50705" w:rsidP="00F50705"/>
    <w:p w14:paraId="2B6C837C" w14:textId="77777777" w:rsidR="00F50705" w:rsidRDefault="00F50705" w:rsidP="00F50705"/>
    <w:p w14:paraId="7CFCED3B" w14:textId="77777777" w:rsidR="00F50705" w:rsidRDefault="00F50705" w:rsidP="00F50705"/>
    <w:p w14:paraId="0E25F1B0" w14:textId="77777777" w:rsidR="00F50705" w:rsidRDefault="00F50705" w:rsidP="00F50705"/>
    <w:p w14:paraId="537523F1" w14:textId="77777777" w:rsidR="00F50705" w:rsidRDefault="00F50705"/>
    <w:sectPr w:rsidR="00F50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C623DE"/>
    <w:multiLevelType w:val="multilevel"/>
    <w:tmpl w:val="6340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CF1E3F"/>
    <w:multiLevelType w:val="multilevel"/>
    <w:tmpl w:val="235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985936"/>
    <w:multiLevelType w:val="multilevel"/>
    <w:tmpl w:val="49D8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776EA"/>
    <w:multiLevelType w:val="multilevel"/>
    <w:tmpl w:val="677E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9570154">
    <w:abstractNumId w:val="1"/>
  </w:num>
  <w:num w:numId="2" w16cid:durableId="1293440445">
    <w:abstractNumId w:val="3"/>
  </w:num>
  <w:num w:numId="3" w16cid:durableId="821386167">
    <w:abstractNumId w:val="2"/>
  </w:num>
  <w:num w:numId="4" w16cid:durableId="416369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705"/>
    <w:rsid w:val="00323903"/>
    <w:rsid w:val="0041702A"/>
    <w:rsid w:val="006C3A0D"/>
    <w:rsid w:val="007B5BFE"/>
    <w:rsid w:val="00810C53"/>
    <w:rsid w:val="00AE71A4"/>
    <w:rsid w:val="00BF3FC8"/>
    <w:rsid w:val="00CA11FB"/>
    <w:rsid w:val="00F507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CCFE81"/>
  <w15:chartTrackingRefBased/>
  <w15:docId w15:val="{0BE6F6DA-2543-402E-91A0-1CA058DD8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7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07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07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07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7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7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7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7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7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7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07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07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07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07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07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7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7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705"/>
    <w:rPr>
      <w:rFonts w:eastAsiaTheme="majorEastAsia" w:cstheme="majorBidi"/>
      <w:color w:val="272727" w:themeColor="text1" w:themeTint="D8"/>
    </w:rPr>
  </w:style>
  <w:style w:type="paragraph" w:styleId="Title">
    <w:name w:val="Title"/>
    <w:basedOn w:val="Normal"/>
    <w:next w:val="Normal"/>
    <w:link w:val="TitleChar"/>
    <w:uiPriority w:val="10"/>
    <w:qFormat/>
    <w:rsid w:val="00F507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7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7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705"/>
    <w:pPr>
      <w:spacing w:before="160"/>
      <w:jc w:val="center"/>
    </w:pPr>
    <w:rPr>
      <w:i/>
      <w:iCs/>
      <w:color w:val="404040" w:themeColor="text1" w:themeTint="BF"/>
    </w:rPr>
  </w:style>
  <w:style w:type="character" w:customStyle="1" w:styleId="QuoteChar">
    <w:name w:val="Quote Char"/>
    <w:basedOn w:val="DefaultParagraphFont"/>
    <w:link w:val="Quote"/>
    <w:uiPriority w:val="29"/>
    <w:rsid w:val="00F50705"/>
    <w:rPr>
      <w:i/>
      <w:iCs/>
      <w:color w:val="404040" w:themeColor="text1" w:themeTint="BF"/>
    </w:rPr>
  </w:style>
  <w:style w:type="paragraph" w:styleId="ListParagraph">
    <w:name w:val="List Paragraph"/>
    <w:basedOn w:val="Normal"/>
    <w:uiPriority w:val="34"/>
    <w:qFormat/>
    <w:rsid w:val="00F50705"/>
    <w:pPr>
      <w:ind w:left="720"/>
      <w:contextualSpacing/>
    </w:pPr>
  </w:style>
  <w:style w:type="character" w:styleId="IntenseEmphasis">
    <w:name w:val="Intense Emphasis"/>
    <w:basedOn w:val="DefaultParagraphFont"/>
    <w:uiPriority w:val="21"/>
    <w:qFormat/>
    <w:rsid w:val="00F50705"/>
    <w:rPr>
      <w:i/>
      <w:iCs/>
      <w:color w:val="0F4761" w:themeColor="accent1" w:themeShade="BF"/>
    </w:rPr>
  </w:style>
  <w:style w:type="paragraph" w:styleId="IntenseQuote">
    <w:name w:val="Intense Quote"/>
    <w:basedOn w:val="Normal"/>
    <w:next w:val="Normal"/>
    <w:link w:val="IntenseQuoteChar"/>
    <w:uiPriority w:val="30"/>
    <w:qFormat/>
    <w:rsid w:val="00F507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705"/>
    <w:rPr>
      <w:i/>
      <w:iCs/>
      <w:color w:val="0F4761" w:themeColor="accent1" w:themeShade="BF"/>
    </w:rPr>
  </w:style>
  <w:style w:type="character" w:styleId="IntenseReference">
    <w:name w:val="Intense Reference"/>
    <w:basedOn w:val="DefaultParagraphFont"/>
    <w:uiPriority w:val="32"/>
    <w:qFormat/>
    <w:rsid w:val="00F507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20264">
      <w:bodyDiv w:val="1"/>
      <w:marLeft w:val="0"/>
      <w:marRight w:val="0"/>
      <w:marTop w:val="0"/>
      <w:marBottom w:val="0"/>
      <w:divBdr>
        <w:top w:val="none" w:sz="0" w:space="0" w:color="auto"/>
        <w:left w:val="none" w:sz="0" w:space="0" w:color="auto"/>
        <w:bottom w:val="none" w:sz="0" w:space="0" w:color="auto"/>
        <w:right w:val="none" w:sz="0" w:space="0" w:color="auto"/>
      </w:divBdr>
      <w:divsChild>
        <w:div w:id="162085318">
          <w:marLeft w:val="0"/>
          <w:marRight w:val="0"/>
          <w:marTop w:val="0"/>
          <w:marBottom w:val="0"/>
          <w:divBdr>
            <w:top w:val="none" w:sz="0" w:space="0" w:color="auto"/>
            <w:left w:val="none" w:sz="0" w:space="0" w:color="auto"/>
            <w:bottom w:val="none" w:sz="0" w:space="0" w:color="auto"/>
            <w:right w:val="none" w:sz="0" w:space="0" w:color="auto"/>
          </w:divBdr>
          <w:divsChild>
            <w:div w:id="731850758">
              <w:marLeft w:val="0"/>
              <w:marRight w:val="0"/>
              <w:marTop w:val="0"/>
              <w:marBottom w:val="0"/>
              <w:divBdr>
                <w:top w:val="none" w:sz="0" w:space="0" w:color="auto"/>
                <w:left w:val="none" w:sz="0" w:space="0" w:color="auto"/>
                <w:bottom w:val="none" w:sz="0" w:space="0" w:color="auto"/>
                <w:right w:val="none" w:sz="0" w:space="0" w:color="auto"/>
              </w:divBdr>
              <w:divsChild>
                <w:div w:id="874583166">
                  <w:marLeft w:val="0"/>
                  <w:marRight w:val="0"/>
                  <w:marTop w:val="0"/>
                  <w:marBottom w:val="0"/>
                  <w:divBdr>
                    <w:top w:val="none" w:sz="0" w:space="0" w:color="auto"/>
                    <w:left w:val="none" w:sz="0" w:space="0" w:color="auto"/>
                    <w:bottom w:val="none" w:sz="0" w:space="0" w:color="auto"/>
                    <w:right w:val="none" w:sz="0" w:space="0" w:color="auto"/>
                  </w:divBdr>
                  <w:divsChild>
                    <w:div w:id="98292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86168">
          <w:marLeft w:val="0"/>
          <w:marRight w:val="0"/>
          <w:marTop w:val="0"/>
          <w:marBottom w:val="0"/>
          <w:divBdr>
            <w:top w:val="none" w:sz="0" w:space="0" w:color="auto"/>
            <w:left w:val="none" w:sz="0" w:space="0" w:color="auto"/>
            <w:bottom w:val="none" w:sz="0" w:space="0" w:color="auto"/>
            <w:right w:val="none" w:sz="0" w:space="0" w:color="auto"/>
          </w:divBdr>
          <w:divsChild>
            <w:div w:id="1507551794">
              <w:marLeft w:val="0"/>
              <w:marRight w:val="0"/>
              <w:marTop w:val="0"/>
              <w:marBottom w:val="0"/>
              <w:divBdr>
                <w:top w:val="none" w:sz="0" w:space="0" w:color="auto"/>
                <w:left w:val="none" w:sz="0" w:space="0" w:color="auto"/>
                <w:bottom w:val="none" w:sz="0" w:space="0" w:color="auto"/>
                <w:right w:val="none" w:sz="0" w:space="0" w:color="auto"/>
              </w:divBdr>
              <w:divsChild>
                <w:div w:id="937180016">
                  <w:marLeft w:val="0"/>
                  <w:marRight w:val="0"/>
                  <w:marTop w:val="0"/>
                  <w:marBottom w:val="0"/>
                  <w:divBdr>
                    <w:top w:val="none" w:sz="0" w:space="0" w:color="auto"/>
                    <w:left w:val="none" w:sz="0" w:space="0" w:color="auto"/>
                    <w:bottom w:val="none" w:sz="0" w:space="0" w:color="auto"/>
                    <w:right w:val="none" w:sz="0" w:space="0" w:color="auto"/>
                  </w:divBdr>
                  <w:divsChild>
                    <w:div w:id="21402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911">
      <w:bodyDiv w:val="1"/>
      <w:marLeft w:val="0"/>
      <w:marRight w:val="0"/>
      <w:marTop w:val="0"/>
      <w:marBottom w:val="0"/>
      <w:divBdr>
        <w:top w:val="none" w:sz="0" w:space="0" w:color="auto"/>
        <w:left w:val="none" w:sz="0" w:space="0" w:color="auto"/>
        <w:bottom w:val="none" w:sz="0" w:space="0" w:color="auto"/>
        <w:right w:val="none" w:sz="0" w:space="0" w:color="auto"/>
      </w:divBdr>
      <w:divsChild>
        <w:div w:id="1904481970">
          <w:marLeft w:val="0"/>
          <w:marRight w:val="0"/>
          <w:marTop w:val="0"/>
          <w:marBottom w:val="0"/>
          <w:divBdr>
            <w:top w:val="none" w:sz="0" w:space="0" w:color="auto"/>
            <w:left w:val="none" w:sz="0" w:space="0" w:color="auto"/>
            <w:bottom w:val="none" w:sz="0" w:space="0" w:color="auto"/>
            <w:right w:val="none" w:sz="0" w:space="0" w:color="auto"/>
          </w:divBdr>
          <w:divsChild>
            <w:div w:id="2055079652">
              <w:marLeft w:val="0"/>
              <w:marRight w:val="0"/>
              <w:marTop w:val="0"/>
              <w:marBottom w:val="0"/>
              <w:divBdr>
                <w:top w:val="none" w:sz="0" w:space="0" w:color="auto"/>
                <w:left w:val="none" w:sz="0" w:space="0" w:color="auto"/>
                <w:bottom w:val="none" w:sz="0" w:space="0" w:color="auto"/>
                <w:right w:val="none" w:sz="0" w:space="0" w:color="auto"/>
              </w:divBdr>
              <w:divsChild>
                <w:div w:id="1014265133">
                  <w:marLeft w:val="0"/>
                  <w:marRight w:val="0"/>
                  <w:marTop w:val="0"/>
                  <w:marBottom w:val="0"/>
                  <w:divBdr>
                    <w:top w:val="none" w:sz="0" w:space="0" w:color="auto"/>
                    <w:left w:val="none" w:sz="0" w:space="0" w:color="auto"/>
                    <w:bottom w:val="none" w:sz="0" w:space="0" w:color="auto"/>
                    <w:right w:val="none" w:sz="0" w:space="0" w:color="auto"/>
                  </w:divBdr>
                  <w:divsChild>
                    <w:div w:id="14650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962014">
          <w:marLeft w:val="0"/>
          <w:marRight w:val="0"/>
          <w:marTop w:val="0"/>
          <w:marBottom w:val="0"/>
          <w:divBdr>
            <w:top w:val="none" w:sz="0" w:space="0" w:color="auto"/>
            <w:left w:val="none" w:sz="0" w:space="0" w:color="auto"/>
            <w:bottom w:val="none" w:sz="0" w:space="0" w:color="auto"/>
            <w:right w:val="none" w:sz="0" w:space="0" w:color="auto"/>
          </w:divBdr>
          <w:divsChild>
            <w:div w:id="803889711">
              <w:marLeft w:val="0"/>
              <w:marRight w:val="0"/>
              <w:marTop w:val="0"/>
              <w:marBottom w:val="0"/>
              <w:divBdr>
                <w:top w:val="none" w:sz="0" w:space="0" w:color="auto"/>
                <w:left w:val="none" w:sz="0" w:space="0" w:color="auto"/>
                <w:bottom w:val="none" w:sz="0" w:space="0" w:color="auto"/>
                <w:right w:val="none" w:sz="0" w:space="0" w:color="auto"/>
              </w:divBdr>
              <w:divsChild>
                <w:div w:id="1805270111">
                  <w:marLeft w:val="0"/>
                  <w:marRight w:val="0"/>
                  <w:marTop w:val="0"/>
                  <w:marBottom w:val="0"/>
                  <w:divBdr>
                    <w:top w:val="none" w:sz="0" w:space="0" w:color="auto"/>
                    <w:left w:val="none" w:sz="0" w:space="0" w:color="auto"/>
                    <w:bottom w:val="none" w:sz="0" w:space="0" w:color="auto"/>
                    <w:right w:val="none" w:sz="0" w:space="0" w:color="auto"/>
                  </w:divBdr>
                  <w:divsChild>
                    <w:div w:id="12334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294014">
      <w:bodyDiv w:val="1"/>
      <w:marLeft w:val="0"/>
      <w:marRight w:val="0"/>
      <w:marTop w:val="0"/>
      <w:marBottom w:val="0"/>
      <w:divBdr>
        <w:top w:val="none" w:sz="0" w:space="0" w:color="auto"/>
        <w:left w:val="none" w:sz="0" w:space="0" w:color="auto"/>
        <w:bottom w:val="none" w:sz="0" w:space="0" w:color="auto"/>
        <w:right w:val="none" w:sz="0" w:space="0" w:color="auto"/>
      </w:divBdr>
      <w:divsChild>
        <w:div w:id="1541819984">
          <w:marLeft w:val="0"/>
          <w:marRight w:val="0"/>
          <w:marTop w:val="0"/>
          <w:marBottom w:val="0"/>
          <w:divBdr>
            <w:top w:val="none" w:sz="0" w:space="0" w:color="auto"/>
            <w:left w:val="none" w:sz="0" w:space="0" w:color="auto"/>
            <w:bottom w:val="none" w:sz="0" w:space="0" w:color="auto"/>
            <w:right w:val="none" w:sz="0" w:space="0" w:color="auto"/>
          </w:divBdr>
          <w:divsChild>
            <w:div w:id="332538244">
              <w:marLeft w:val="0"/>
              <w:marRight w:val="0"/>
              <w:marTop w:val="0"/>
              <w:marBottom w:val="0"/>
              <w:divBdr>
                <w:top w:val="none" w:sz="0" w:space="0" w:color="auto"/>
                <w:left w:val="none" w:sz="0" w:space="0" w:color="auto"/>
                <w:bottom w:val="none" w:sz="0" w:space="0" w:color="auto"/>
                <w:right w:val="none" w:sz="0" w:space="0" w:color="auto"/>
              </w:divBdr>
              <w:divsChild>
                <w:div w:id="700128562">
                  <w:marLeft w:val="0"/>
                  <w:marRight w:val="0"/>
                  <w:marTop w:val="0"/>
                  <w:marBottom w:val="0"/>
                  <w:divBdr>
                    <w:top w:val="none" w:sz="0" w:space="0" w:color="auto"/>
                    <w:left w:val="none" w:sz="0" w:space="0" w:color="auto"/>
                    <w:bottom w:val="none" w:sz="0" w:space="0" w:color="auto"/>
                    <w:right w:val="none" w:sz="0" w:space="0" w:color="auto"/>
                  </w:divBdr>
                  <w:divsChild>
                    <w:div w:id="19721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07111">
          <w:marLeft w:val="0"/>
          <w:marRight w:val="0"/>
          <w:marTop w:val="0"/>
          <w:marBottom w:val="0"/>
          <w:divBdr>
            <w:top w:val="none" w:sz="0" w:space="0" w:color="auto"/>
            <w:left w:val="none" w:sz="0" w:space="0" w:color="auto"/>
            <w:bottom w:val="none" w:sz="0" w:space="0" w:color="auto"/>
            <w:right w:val="none" w:sz="0" w:space="0" w:color="auto"/>
          </w:divBdr>
          <w:divsChild>
            <w:div w:id="909003452">
              <w:marLeft w:val="0"/>
              <w:marRight w:val="0"/>
              <w:marTop w:val="0"/>
              <w:marBottom w:val="0"/>
              <w:divBdr>
                <w:top w:val="none" w:sz="0" w:space="0" w:color="auto"/>
                <w:left w:val="none" w:sz="0" w:space="0" w:color="auto"/>
                <w:bottom w:val="none" w:sz="0" w:space="0" w:color="auto"/>
                <w:right w:val="none" w:sz="0" w:space="0" w:color="auto"/>
              </w:divBdr>
              <w:divsChild>
                <w:div w:id="617565487">
                  <w:marLeft w:val="0"/>
                  <w:marRight w:val="0"/>
                  <w:marTop w:val="0"/>
                  <w:marBottom w:val="0"/>
                  <w:divBdr>
                    <w:top w:val="none" w:sz="0" w:space="0" w:color="auto"/>
                    <w:left w:val="none" w:sz="0" w:space="0" w:color="auto"/>
                    <w:bottom w:val="none" w:sz="0" w:space="0" w:color="auto"/>
                    <w:right w:val="none" w:sz="0" w:space="0" w:color="auto"/>
                  </w:divBdr>
                  <w:divsChild>
                    <w:div w:id="19261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423621">
      <w:bodyDiv w:val="1"/>
      <w:marLeft w:val="0"/>
      <w:marRight w:val="0"/>
      <w:marTop w:val="0"/>
      <w:marBottom w:val="0"/>
      <w:divBdr>
        <w:top w:val="none" w:sz="0" w:space="0" w:color="auto"/>
        <w:left w:val="none" w:sz="0" w:space="0" w:color="auto"/>
        <w:bottom w:val="none" w:sz="0" w:space="0" w:color="auto"/>
        <w:right w:val="none" w:sz="0" w:space="0" w:color="auto"/>
      </w:divBdr>
    </w:div>
    <w:div w:id="1639535490">
      <w:bodyDiv w:val="1"/>
      <w:marLeft w:val="0"/>
      <w:marRight w:val="0"/>
      <w:marTop w:val="0"/>
      <w:marBottom w:val="0"/>
      <w:divBdr>
        <w:top w:val="none" w:sz="0" w:space="0" w:color="auto"/>
        <w:left w:val="none" w:sz="0" w:space="0" w:color="auto"/>
        <w:bottom w:val="none" w:sz="0" w:space="0" w:color="auto"/>
        <w:right w:val="none" w:sz="0" w:space="0" w:color="auto"/>
      </w:divBdr>
      <w:divsChild>
        <w:div w:id="836195667">
          <w:marLeft w:val="0"/>
          <w:marRight w:val="0"/>
          <w:marTop w:val="0"/>
          <w:marBottom w:val="0"/>
          <w:divBdr>
            <w:top w:val="none" w:sz="0" w:space="0" w:color="auto"/>
            <w:left w:val="none" w:sz="0" w:space="0" w:color="auto"/>
            <w:bottom w:val="none" w:sz="0" w:space="0" w:color="auto"/>
            <w:right w:val="none" w:sz="0" w:space="0" w:color="auto"/>
          </w:divBdr>
          <w:divsChild>
            <w:div w:id="942686971">
              <w:marLeft w:val="0"/>
              <w:marRight w:val="0"/>
              <w:marTop w:val="0"/>
              <w:marBottom w:val="0"/>
              <w:divBdr>
                <w:top w:val="none" w:sz="0" w:space="0" w:color="auto"/>
                <w:left w:val="none" w:sz="0" w:space="0" w:color="auto"/>
                <w:bottom w:val="none" w:sz="0" w:space="0" w:color="auto"/>
                <w:right w:val="none" w:sz="0" w:space="0" w:color="auto"/>
              </w:divBdr>
              <w:divsChild>
                <w:div w:id="1205102050">
                  <w:marLeft w:val="0"/>
                  <w:marRight w:val="0"/>
                  <w:marTop w:val="0"/>
                  <w:marBottom w:val="0"/>
                  <w:divBdr>
                    <w:top w:val="none" w:sz="0" w:space="0" w:color="auto"/>
                    <w:left w:val="none" w:sz="0" w:space="0" w:color="auto"/>
                    <w:bottom w:val="none" w:sz="0" w:space="0" w:color="auto"/>
                    <w:right w:val="none" w:sz="0" w:space="0" w:color="auto"/>
                  </w:divBdr>
                  <w:divsChild>
                    <w:div w:id="114289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232023">
          <w:marLeft w:val="0"/>
          <w:marRight w:val="0"/>
          <w:marTop w:val="0"/>
          <w:marBottom w:val="0"/>
          <w:divBdr>
            <w:top w:val="none" w:sz="0" w:space="0" w:color="auto"/>
            <w:left w:val="none" w:sz="0" w:space="0" w:color="auto"/>
            <w:bottom w:val="none" w:sz="0" w:space="0" w:color="auto"/>
            <w:right w:val="none" w:sz="0" w:space="0" w:color="auto"/>
          </w:divBdr>
          <w:divsChild>
            <w:div w:id="1968077332">
              <w:marLeft w:val="0"/>
              <w:marRight w:val="0"/>
              <w:marTop w:val="0"/>
              <w:marBottom w:val="0"/>
              <w:divBdr>
                <w:top w:val="none" w:sz="0" w:space="0" w:color="auto"/>
                <w:left w:val="none" w:sz="0" w:space="0" w:color="auto"/>
                <w:bottom w:val="none" w:sz="0" w:space="0" w:color="auto"/>
                <w:right w:val="none" w:sz="0" w:space="0" w:color="auto"/>
              </w:divBdr>
              <w:divsChild>
                <w:div w:id="778990880">
                  <w:marLeft w:val="0"/>
                  <w:marRight w:val="0"/>
                  <w:marTop w:val="0"/>
                  <w:marBottom w:val="0"/>
                  <w:divBdr>
                    <w:top w:val="none" w:sz="0" w:space="0" w:color="auto"/>
                    <w:left w:val="none" w:sz="0" w:space="0" w:color="auto"/>
                    <w:bottom w:val="none" w:sz="0" w:space="0" w:color="auto"/>
                    <w:right w:val="none" w:sz="0" w:space="0" w:color="auto"/>
                  </w:divBdr>
                  <w:divsChild>
                    <w:div w:id="1940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8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1087</Words>
  <Characters>7089</Characters>
  <Application>Microsoft Office Word</Application>
  <DocSecurity>0</DocSecurity>
  <Lines>144</Lines>
  <Paragraphs>50</Paragraphs>
  <ScaleCrop>false</ScaleCrop>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Weedagame Mudalige Suranga Nil Wijekoon Nilhan [Student-PECS]</dc:creator>
  <cp:keywords/>
  <dc:description/>
  <cp:lastModifiedBy>Weedagame Mudalige Suranga Nil Wijekoon Nilhan [Student-PECS]</cp:lastModifiedBy>
  <cp:revision>5</cp:revision>
  <dcterms:created xsi:type="dcterms:W3CDTF">2025-01-02T23:04:00Z</dcterms:created>
  <dcterms:modified xsi:type="dcterms:W3CDTF">2025-01-05T13:51:00Z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cf5bc464-7c29-410f-ab09-915db2cf7701</vt:lpwstr>
  </property>
</Properties>
</file>