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  <w:jc w:val="center"/>
      </w:pPr>
      <w:r>
        <w:rPr>
          <w:rFonts w:ascii="TH Sarabun New" w:cs="TH Sarabun New" w:eastAsia="TH Sarabun New" w:hAnsi="TH Sarabun New"/>
          <w:b/>
          <w:bCs/>
          <w:color w:val="0F6E56"/>
          <w:sz w:val="30"/>
          <w:szCs w:val="30"/>
        </w:rPr>
        <w:t xml:space="preserve">เอกสารเสนอผู้บริหารระดับสูง</w:t>
      </w:r>
    </w:p>
    <w:p>
      <w:pPr>
        <w:spacing w:after="80"/>
        <w:jc w:val="center"/>
      </w:pPr>
      <w:r>
        <w:rPr>
          <w:rFonts w:ascii="TH Sarabun New" w:cs="TH Sarabun New" w:eastAsia="TH Sarabun New" w:hAnsi="TH Sarabun New"/>
          <w:b/>
          <w:bCs/>
          <w:color w:val="0E2A3B"/>
          <w:sz w:val="56"/>
          <w:szCs w:val="56"/>
        </w:rPr>
        <w:t xml:space="preserve">ศูนย์ธรรมาภิบาลข้อมูลและยุทธศาสตร์อัจฉริยะ</w:t>
      </w:r>
    </w:p>
    <w:p>
      <w:pPr>
        <w:spacing w:after="240"/>
        <w:jc w:val="center"/>
      </w:pPr>
      <w:r>
        <w:rPr>
          <w:rFonts w:ascii="TH Sarabun New" w:cs="TH Sarabun New" w:eastAsia="TH Sarabun New" w:hAnsi="TH Sarabun New"/>
          <w:color w:val="5F6B70"/>
          <w:sz w:val="30"/>
          <w:szCs w:val="30"/>
        </w:rPr>
        <w:t xml:space="preserve">(Data Governance &amp; Intelligent Strategy Center — DGSI)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0F6E56"/>
          <w:sz w:val="36"/>
          <w:szCs w:val="36"/>
        </w:rPr>
        <w:t xml:space="preserve">ความได้เปรียบเชิงยุทธศาสตร์ การประเมินสถานะปัจจุบัน</w:t>
      </w:r>
    </w:p>
    <w:p>
      <w:pPr>
        <w:spacing w:after="1600"/>
        <w:jc w:val="center"/>
      </w:pPr>
      <w:r>
        <w:rPr>
          <w:rFonts w:ascii="TH Sarabun New" w:cs="TH Sarabun New" w:eastAsia="TH Sarabun New" w:hAnsi="TH Sarabun New"/>
          <w:b/>
          <w:bCs/>
          <w:color w:val="0F6E56"/>
          <w:sz w:val="36"/>
          <w:szCs w:val="36"/>
        </w:rPr>
        <w:t xml:space="preserve">และแผนดำเนินการสู่ความเป็นเลิศ (Outstanding) ใน 2 ปี</w:t>
      </w:r>
    </w:p>
    <w:p>
      <w:pPr>
        <w:spacing w:after="60"/>
        <w:jc w:val="center"/>
      </w:pPr>
      <w:r>
        <w:rPr>
          <w:rFonts w:ascii="TH Sarabun New" w:cs="TH Sarabun New" w:eastAsia="TH Sarabun New" w:hAnsi="TH Sarabun New"/>
          <w:color w:val="1A2B33"/>
          <w:sz w:val="30"/>
          <w:szCs w:val="30"/>
        </w:rPr>
        <w:t xml:space="preserve">เสนอต่อ  อธิการบดี · รองอธิการบดี · สภามหาวิทยาลัย</w:t>
      </w:r>
    </w:p>
    <w:p>
      <w:pPr>
        <w:jc w:val="center"/>
      </w:pPr>
      <w:r>
        <w:rPr>
          <w:rFonts w:ascii="TH Sarabun New" w:cs="TH Sarabun New" w:eastAsia="TH Sarabun New" w:hAnsi="TH Sarabun New"/>
          <w:color w:val="5F6B70"/>
          <w:sz w:val="30"/>
          <w:szCs w:val="30"/>
        </w:rPr>
        <w:t xml:space="preserve">มิถุนายน 2569</w:t>
      </w:r>
    </w:p>
    <w:p>
      <w:r>
        <w:br w:type="page"/>
      </w:r>
    </w:p>
    <w:p>
      <w:pPr>
        <w:spacing w:after="160"/>
      </w:pPr>
      <w:r>
        <w:rPr>
          <w:rFonts w:ascii="TH Sarabun New" w:cs="TH Sarabun New" w:eastAsia="TH Sarabun New" w:hAnsi="TH Sarabun New"/>
          <w:b/>
          <w:bCs/>
          <w:color w:val="0F6E56"/>
          <w:sz w:val="36"/>
          <w:szCs w:val="36"/>
        </w:rPr>
        <w:t xml:space="preserve">สารบัญ</w:t>
      </w:r>
    </w:p>
    <w:sdt>
      <w:sdtPr>
        <w:alias w:val="สารบัญ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F6E56"/>
          <w:sz w:val="36"/>
          <w:szCs w:val="36"/>
        </w:rPr>
        <w:t xml:space="preserve">1. บทสรุปผู้บริหาร</w:t>
      </w: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color w:val="1A2B33"/>
          <w:sz w:val="30"/>
          <w:szCs w:val="30"/>
        </w:rPr>
        <w:t xml:space="preserve">มหาวิทยาลัยกำลังเข้าสู่ยุคที่ข้อมูลคือสินทรัพย์เชิงยุทธศาสตร์ ไม่ต่างจากบุคลากรหรืองบประมาณ การจัดตั้งศูนย์ธรรมาภิบาลข้อมูลและยุทธศาสตร์อัจฉริยะ (DGSI) จึงมิใช่เพียงงานด้านเทคโนโลยีสารสนเทศ แต่เป็นการวางกลไกกำกับระดับองค์กรที่เปลี่ยนวิธีการตัดสินใจจาก ‘ประสบการณ์และสัญชาตญาณ’ สู่ ‘หลักฐานเชิงข้อมูลที่ตรวจสอบได้’</w:t>
      </w:r>
    </w:p>
    <w:p>
      <w:pPr>
        <w:spacing w:after="80" w:before="120"/>
      </w:pPr>
      <w:r>
        <w:rPr>
          <w:rFonts w:ascii="TH Sarabun New" w:cs="TH Sarabun New" w:eastAsia="TH Sarabun New" w:hAnsi="TH Sarabun New"/>
          <w:b/>
          <w:bCs/>
          <w:color w:val="0E2A3B"/>
          <w:sz w:val="30"/>
          <w:szCs w:val="30"/>
        </w:rPr>
        <w:t xml:space="preserve">สาระสำคัญที่ขออนุมัติ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รับรองความได้เปรียบเชิงยุทธศาสตร์ 6 มิติของการมีศูนย์ฯ (หัวข้อ 2)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เห็นชอบนิยามความเป็น Outstanding ตาม Data Maturity Model โดยตั้งเป้าสู่ระดับ 4–5 ภายในปี 2573 (หัวข้อ 3)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อนุมัติชุดเป้าหมายปลายทาง 5 เป้า พร้อม OKR/KPI ที่วัดได้ (หัวข้อ 4)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สนับสนุนแผนดำเนินการ 2 ปี และข้อเสนอเชิงนโยบาย (หัวข้อ 6–8)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0F6E56"/>
                <w:sz w:val="30"/>
                <w:szCs w:val="30"/>
              </w:rPr>
              <w:t xml:space="preserve">ใจความหลัก: </w:t>
            </w:r>
            <w:r>
              <w:rPr>
                <w:rFonts w:ascii="TH Sarabun New" w:cs="TH Sarabun New" w:eastAsia="TH Sarabun New" w:hAnsi="TH Sarabun New"/>
                <w:color w:val="1A2B33"/>
                <w:sz w:val="30"/>
                <w:szCs w:val="30"/>
              </w:rPr>
              <w:t xml:space="preserve">ศูนย์ฯ นี้คือการลงทุนที่เปลี่ยนความเสี่ยงด้านข้อมูล (PDPA · ข้อมูลรั่วไหล · การตัดสินใจผิดพลาด) ให้กลายเป็นความได้เปรียบในการแข่งขัน (อันดับมหาวิทยาลัย · ประสิทธิภาพ · ความเชื่อมั่น)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F6E56"/>
          <w:sz w:val="36"/>
          <w:szCs w:val="36"/>
        </w:rPr>
        <w:t xml:space="preserve">2. ความได้เปรียบเชิงยุทธศาสตร์ (Strategic Advantages)</w:t>
      </w: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color w:val="1A2B33"/>
          <w:sz w:val="30"/>
          <w:szCs w:val="30"/>
        </w:rPr>
        <w:t xml:space="preserve">มหาวิทยาลัยที่มีศูนย์ฯ ได้เปรียบมหาวิทยาลัยที่ไม่มีอย่างเป็นรูปธรรมใน 6 มิติ: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2226"/>
      </w:tblGrid>
      <w:tr>
        <w:trPr>
          <w:tblHeader/>
        </w:trPr>
        <w:tc>
          <w:tcPr>
            <w:tcW w:type="dxa" w:w="20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มิติ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ไม่มีศูนย์ฯ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มีศูนย์ฯ</w:t>
            </w:r>
          </w:p>
        </w:tc>
        <w:tc>
          <w:tcPr>
            <w:tcW w:type="dxa" w:w="22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ผลลัพธ์ที่จับต้องได้</w:t>
            </w:r>
          </w:p>
        </w:tc>
      </w:tr>
      <w:tr>
        <w:tc>
          <w:tcPr>
            <w:tcW w:type="dxa" w:w="20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การตัดสินใจของผู้บริหาร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ข้อมูลกระจัดกระจาย ตัวเลขขัดแย้ง ตัดสินใจช้า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Single Source of Truth + Dashboard near real-time</w:t>
            </w:r>
          </w:p>
        </w:tc>
        <w:tc>
          <w:tcPr>
            <w:tcW w:type="dxa" w:w="22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ตัดสินใจเร็วบนข้อมูลชุดเดียวที่เชื่อถือได้</w:t>
            </w:r>
          </w:p>
        </w:tc>
      </w:tr>
      <w:tr>
        <w:tc>
          <w:tcPr>
            <w:tcW w:type="dxa" w:w="20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ประสิทธิภาพการดำเนินงาน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งานซ้ำซ้อน เก็บข้อมูลซ้ำ (Shadow IT)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ข้อมูลใช้ซ้ำได้ มีมาตรฐานกลาง</w:t>
            </w:r>
          </w:p>
        </w:tc>
        <w:tc>
          <w:tcPr>
            <w:tcW w:type="dxa" w:w="22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ลดต้นทุนเวลา/แรงงานในการรวบรวมข้อมูล</w:t>
            </w:r>
          </w:p>
        </w:tc>
      </w:tr>
      <w:tr>
        <w:tc>
          <w:tcPr>
            <w:tcW w:type="dxa" w:w="20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ปฏิบัติตามกฎหมาย/ธรรมาภิบาล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เสี่ยงละเมิด PDPA ไม่มีผู้รับผิดชอบ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มี DPO · RoPA · DPIA · จำแนกชั้นความลับ</w:t>
            </w:r>
          </w:p>
        </w:tc>
        <w:tc>
          <w:tcPr>
            <w:tcW w:type="dxa" w:w="22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ลดความเสี่ยงทางกฎหมายและชื่อเสียง</w:t>
            </w:r>
          </w:p>
        </w:tc>
      </w:tr>
      <w:tr>
        <w:tc>
          <w:tcPr>
            <w:tcW w:type="dxa" w:w="20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ยกอันดับและคุณภาพ (QA)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ตอบ THE/QS/EdPEx แบบตั้งรับ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คลังข้อมูลตัวชี้วัดพร้อมใช้ ตรวจย้อนได้</w:t>
            </w:r>
          </w:p>
        </w:tc>
        <w:tc>
          <w:tcPr>
            <w:tcW w:type="dxa" w:w="22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ตอบตัวชี้วัดแม่นยำ ทันเวลา หนุนอันดับ</w:t>
            </w:r>
          </w:p>
        </w:tc>
      </w:tr>
      <w:tr>
        <w:tc>
          <w:tcPr>
            <w:tcW w:type="dxa" w:w="20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ความสามารถด้าน AI/Analytics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ใช้ AI กระจัดกระจาย เสี่ยงอคติ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AI Ethics Framework + Advanced Analytics</w:t>
            </w:r>
          </w:p>
        </w:tc>
        <w:tc>
          <w:tcPr>
            <w:tcW w:type="dxa" w:w="22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ใช้ AI สร้างคุณค่าอย่างปลอดภัยและอธิบายได้</w:t>
            </w:r>
          </w:p>
        </w:tc>
      </w:tr>
      <w:tr>
        <w:tc>
          <w:tcPr>
            <w:tcW w:type="dxa" w:w="20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ภาพลักษณ์และความเชื่อมั่น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ผู้มีส่วนได้ส่วนเสียกังวลความเป็นส่วนตัว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องค์กร Responsible Data-Driven ที่น่าเชื่อถือ</w:t>
            </w:r>
          </w:p>
        </w:tc>
        <w:tc>
          <w:tcPr>
            <w:tcW w:type="dxa" w:w="22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เพิ่มความเชื่อมั่นของทุกฝ่าย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F6E56"/>
          <w:sz w:val="36"/>
          <w:szCs w:val="36"/>
        </w:rPr>
        <w:t xml:space="preserve">3. นิยามความเป็น Outstanding (Data Maturity Model)</w:t>
      </w: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color w:val="1A2B33"/>
          <w:sz w:val="30"/>
          <w:szCs w:val="30"/>
        </w:rPr>
        <w:t xml:space="preserve">เพื่อให้ ‘ความเป็นเลิศ’ วัดได้และไม่เป็นนามธรรม ใช้กรอบ Data Maturity Model 5 ระดับ (สังเคราะห์จาก DAMA-DMBOK, DGI และ Gartner) เป็นบันไดวัดความก้าวหน้า: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3100"/>
        <w:gridCol w:w="2426"/>
      </w:tblGrid>
      <w:tr>
        <w:trPr>
          <w:tblHeader/>
        </w:trPr>
        <w:tc>
          <w:tcPr>
            <w:tcW w:type="dxa" w:w="11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ระดับ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ชื่อระดับ</w:t>
            </w:r>
          </w:p>
        </w:tc>
        <w:tc>
          <w:tcPr>
            <w:tcW w:type="dxa" w:w="31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ลักษณะสำคัญ</w:t>
            </w:r>
          </w:p>
        </w:tc>
        <w:tc>
          <w:tcPr>
            <w:tcW w:type="dxa" w:w="24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สถานะที่คาด</w:t>
            </w:r>
          </w:p>
        </w:tc>
      </w:tr>
      <w:tr>
        <w:tc>
          <w:tcPr>
            <w:tcW w:type="dxa" w:w="11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1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Initial / Ad-hoc</w:t>
            </w:r>
          </w:p>
        </w:tc>
        <w:tc>
          <w:tcPr>
            <w:tcW w:type="dxa" w:w="31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ไม่มีนโยบายกลาง ข้อมูลแยกส่วน</w:t>
            </w:r>
          </w:p>
        </w:tc>
        <w:tc>
          <w:tcPr>
            <w:tcW w:type="dxa" w:w="24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จุดเริ่มต้นก่อนมีศูนย์ฯ</w:t>
            </w:r>
          </w:p>
        </w:tc>
      </w:tr>
      <w:tr>
        <w:tc>
          <w:tcPr>
            <w:tcW w:type="dxa" w:w="11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2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Managed / Reactive</w:t>
            </w:r>
          </w:p>
        </w:tc>
        <w:tc>
          <w:tcPr>
            <w:tcW w:type="dxa" w:w="31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มีนโยบายเริ่มต้น แก้ปัญหาเฉพาะหน้า</w:t>
            </w:r>
          </w:p>
        </w:tc>
        <w:tc>
          <w:tcPr>
            <w:tcW w:type="dxa" w:w="24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เป้าระยะที่ 1 (Quick Win)</w:t>
            </w:r>
          </w:p>
        </w:tc>
      </w:tr>
      <w:tr>
        <w:tc>
          <w:tcPr>
            <w:tcW w:type="dxa" w:w="11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3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Defined / Proactive</w:t>
            </w:r>
          </w:p>
        </w:tc>
        <w:tc>
          <w:tcPr>
            <w:tcW w:type="dxa" w:w="31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มาตรฐานกลาง Catalog และ KPI ทั่วองค์กร</w:t>
            </w:r>
          </w:p>
        </w:tc>
        <w:tc>
          <w:tcPr>
            <w:tcW w:type="dxa" w:w="24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เป้าระยะที่ 2 (Build)</w:t>
            </w:r>
          </w:p>
        </w:tc>
      </w:tr>
      <w:tr>
        <w:tc>
          <w:tcPr>
            <w:tcW w:type="dxa" w:w="11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F6E56"/>
                <w:sz w:val="28"/>
                <w:szCs w:val="28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6E56"/>
                <w:sz w:val="28"/>
                <w:szCs w:val="28"/>
              </w:rPr>
              <w:t xml:space="preserve">Quantitatively Managed</w:t>
            </w:r>
          </w:p>
        </w:tc>
        <w:tc>
          <w:tcPr>
            <w:tcW w:type="dxa" w:w="31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ตัดสินใจด้วยข้อมูลเชิงปริมาณ Analytics เป็นปกติ</w:t>
            </w:r>
          </w:p>
        </w:tc>
        <w:tc>
          <w:tcPr>
            <w:tcW w:type="dxa" w:w="24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6E56"/>
                <w:sz w:val="28"/>
                <w:szCs w:val="28"/>
              </w:rPr>
              <w:t xml:space="preserve">เป้า Outstanding ขั้นต้น</w:t>
            </w:r>
          </w:p>
        </w:tc>
      </w:tr>
      <w:tr>
        <w:tc>
          <w:tcPr>
            <w:tcW w:type="dxa" w:w="11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F6E56"/>
                <w:sz w:val="28"/>
                <w:szCs w:val="28"/>
              </w:rPr>
              <w:t xml:space="preserve">5</w:t>
            </w:r>
          </w:p>
        </w:tc>
        <w:tc>
          <w:tcPr>
            <w:tcW w:type="dxa" w:w="24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6E56"/>
                <w:sz w:val="28"/>
                <w:szCs w:val="28"/>
              </w:rPr>
              <w:t xml:space="preserve">Optimizing / Intelligent</w:t>
            </w:r>
          </w:p>
        </w:tc>
        <w:tc>
          <w:tcPr>
            <w:tcW w:type="dxa" w:w="31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ใช้ AI/Predictive อย่างรับผิดชอบ ปรับปรุงต่อเนื่อง</w:t>
            </w:r>
          </w:p>
        </w:tc>
        <w:tc>
          <w:tcPr>
            <w:tcW w:type="dxa" w:w="24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6E56"/>
                <w:sz w:val="28"/>
                <w:szCs w:val="28"/>
              </w:rPr>
              <w:t xml:space="preserve">เป้า Outstanding สูงสุด ปี 2573</w:t>
            </w:r>
          </w:p>
        </w:tc>
      </w:tr>
    </w:tbl>
    <w:p>
      <w:pPr>
        <w:spacing w:after="60"/>
      </w:pP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color w:val="1A2B33"/>
          <w:sz w:val="30"/>
          <w:szCs w:val="30"/>
        </w:rPr>
        <w:t xml:space="preserve">นิยาม Outstanding ของมหาวิทยาลัย = บรรลุ Data Maturity ระดับ 4–5 อย่างยั่งยืน ควบคู่กับการเป็น Responsible Data-Driven University ที่ใช้ข้อมูลและ AI อย่างชาญฉลาดและรับผิดชอบทั่วทั้งการเรียนการสอน วิจัย บริการวิชาการ และการบริหาร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F6E56"/>
          <w:sz w:val="36"/>
          <w:szCs w:val="36"/>
        </w:rPr>
        <w:t xml:space="preserve">4. ชุดเป้าหมายปลายทางและตัวชี้วัด (Outstanding Goals &amp; KPI)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00"/>
        <w:gridCol w:w="1826"/>
      </w:tblGrid>
      <w:tr>
        <w:trPr>
          <w:tblHeader/>
        </w:trPr>
        <w:tc>
          <w:tcPr>
            <w:tcW w:type="dxa" w:w="30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เป้าหมาย</w:t>
            </w:r>
          </w:p>
        </w:tc>
        <w:tc>
          <w:tcPr>
            <w:tcW w:type="dxa" w:w="42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OKR / KPI</w:t>
            </w:r>
          </w:p>
        </w:tc>
        <w:tc>
          <w:tcPr>
            <w:tcW w:type="dxa" w:w="18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กรอบเวลา</w:t>
            </w:r>
          </w:p>
        </w:tc>
      </w:tr>
      <w:tr>
        <w:tc>
          <w:tcPr>
            <w:tcW w:type="dxa" w:w="30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E2A3B"/>
                <w:sz w:val="28"/>
                <w:szCs w:val="28"/>
              </w:rPr>
              <w:t xml:space="preserve">1. ตัดสินใจด้วยข้อมูล (Data-Driven)</w:t>
            </w:r>
          </w:p>
        </w:tc>
        <w:tc>
          <w:tcPr>
            <w:tcW w:type="dxa" w:w="42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Self-service Analytics Adoption เพิ่ม 20%/ปี · Single Source of Truth ครอบคลุมข้อมูลสำคัญ ≥ 90%</w:t>
            </w:r>
          </w:p>
        </w:tc>
        <w:tc>
          <w:tcPr>
            <w:tcW w:type="dxa" w:w="18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เริ่มวัดระยะที่ 2 บรรลุปี 2572–2573</w:t>
            </w:r>
          </w:p>
        </w:tc>
      </w:tr>
      <w:tr>
        <w:tc>
          <w:tcPr>
            <w:tcW w:type="dxa" w:w="30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E2A3B"/>
                <w:sz w:val="28"/>
                <w:szCs w:val="28"/>
              </w:rPr>
              <w:t xml:space="preserve">2. ข้อมูลมีคุณภาพและพร้อมใช้ (Trusted Data)</w:t>
            </w:r>
          </w:p>
        </w:tc>
        <w:tc>
          <w:tcPr>
            <w:tcW w:type="dxa" w:w="42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Data Quality Score ≥ 90% (baseline ~60–70%) · Metadata Coverage ≥ 80% ใน 18 เดือน</w:t>
            </w:r>
          </w:p>
        </w:tc>
        <w:tc>
          <w:tcPr>
            <w:tcW w:type="dxa" w:w="18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บรรลุภายในสิ้นระยะที่ 2</w:t>
            </w:r>
          </w:p>
        </w:tc>
      </w:tr>
      <w:tr>
        <w:tc>
          <w:tcPr>
            <w:tcW w:type="dxa" w:w="30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E2A3B"/>
                <w:sz w:val="28"/>
                <w:szCs w:val="28"/>
              </w:rPr>
              <w:t xml:space="preserve">3. ปฏิบัติตามกฎหมายเต็มรูปแบบ (Compliance)</w:t>
            </w:r>
          </w:p>
        </w:tc>
        <w:tc>
          <w:tcPr>
            <w:tcW w:type="dxa" w:w="42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PDPA Compliance 100% ของระบบเสี่ยงสูง · เหตุข้อมูลรั่วไหลร้ายแรง = 0 และลดลง YoY</w:t>
            </w:r>
          </w:p>
        </w:tc>
        <w:tc>
          <w:tcPr>
            <w:tcW w:type="dxa" w:w="18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ขั้นพื้นฐานระยะที่ 1 เต็มรูปแบบระยะที่ 2</w:t>
            </w:r>
          </w:p>
        </w:tc>
      </w:tr>
      <w:tr>
        <w:tc>
          <w:tcPr>
            <w:tcW w:type="dxa" w:w="30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E2A3B"/>
                <w:sz w:val="28"/>
                <w:szCs w:val="28"/>
              </w:rPr>
              <w:t xml:space="preserve">4. บุคลากรมีขีดความสามารถ (Data Literacy)</w:t>
            </w:r>
          </w:p>
        </w:tc>
        <w:tc>
          <w:tcPr>
            <w:tcW w:type="dxa" w:w="42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Data Literacy Coverage ≥ 60% ภายใน 2 ปี (baseline &lt; 10%)</w:t>
            </w:r>
          </w:p>
        </w:tc>
        <w:tc>
          <w:tcPr>
            <w:tcW w:type="dxa" w:w="18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ขับเคลื่อนต่อเนื่องระยะที่ 2–3</w:t>
            </w:r>
          </w:p>
        </w:tc>
      </w:tr>
      <w:tr>
        <w:tc>
          <w:tcPr>
            <w:tcW w:type="dxa" w:w="30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E2A3B"/>
                <w:sz w:val="28"/>
                <w:szCs w:val="28"/>
              </w:rPr>
              <w:t xml:space="preserve">5. ใช้ AI อย่างรับผิดชอบ (Responsible Intelligence)</w:t>
            </w:r>
          </w:p>
        </w:tc>
        <w:tc>
          <w:tcPr>
            <w:tcW w:type="dxa" w:w="42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AI Ethics Review Rate 100% · บริการ Advanced Analytics/AI ใช้จริง ≥ 3 use case</w:t>
            </w:r>
          </w:p>
        </w:tc>
        <w:tc>
          <w:tcPr>
            <w:tcW w:type="dxa" w:w="18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เริ่มระยะที่ 3 ยกสู่ Maturity ระดับ 5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F6E56"/>
          <w:sz w:val="36"/>
          <w:szCs w:val="36"/>
        </w:rPr>
        <w:t xml:space="preserve">5. การประเมินสถานะปัจจุบัน (Data Maturity Assessment)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BEE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8A5A0B"/>
                <w:sz w:val="30"/>
                <w:szCs w:val="30"/>
              </w:rPr>
              <w:t xml:space="preserve">ข้อควรทราบ: </w:t>
            </w:r>
            <w:r>
              <w:rPr>
                <w:rFonts w:ascii="TH Sarabun New" w:cs="TH Sarabun New" w:eastAsia="TH Sarabun New" w:hAnsi="TH Sarabun New"/>
                <w:color w:val="1A2B33"/>
                <w:sz w:val="30"/>
                <w:szCs w:val="30"/>
              </w:rPr>
              <w:t xml:space="preserve">ค่าประเมิน ‘สถานะปัจจุบัน’ เป็นค่าประมาณการเบื้องต้นที่อนุมานจากเอกสารชุด DGSI ยังไม่ใช่ผลสำรวจจริง ขั้นแรกของแผนคือให้แต่ละฝ่าย/Steward กรอกแบบประเมินเพื่อยืนยันค่าจริงก่อนผูกเป็นเป้าหมาย</w:t>
            </w:r>
          </w:p>
        </w:tc>
      </w:tr>
    </w:tbl>
    <w:p>
      <w:pPr>
        <w:spacing w:after="80"/>
      </w:pP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0E2A3B"/>
          <w:sz w:val="30"/>
          <w:szCs w:val="30"/>
        </w:rPr>
        <w:t xml:space="preserve">5.1 ผลประเมินเบื้องต้นรายด้าน (สเกล 1–5)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1150"/>
        <w:gridCol w:w="1150"/>
        <w:gridCol w:w="1526"/>
      </w:tblGrid>
      <w:tr>
        <w:trPr>
          <w:tblHeader/>
        </w:trPr>
        <w:tc>
          <w:tcPr>
            <w:tcW w:type="dxa" w:w="25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ด้าน</w:t>
            </w:r>
          </w:p>
        </w:tc>
        <w:tc>
          <w:tcPr>
            <w:tcW w:type="dxa" w:w="27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ฝ่ายเจ้าภาพ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ปัจจุบัน*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เป้า 2 ปี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ช่องว่าง</w:t>
            </w:r>
          </w:p>
        </w:tc>
      </w:tr>
      <w:tr>
        <w:tc>
          <w:tcPr>
            <w:tcW w:type="dxa" w:w="25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D1 ธรรมาภิบาล &amp; องค์กร</w:t>
            </w:r>
          </w:p>
        </w:tc>
        <w:tc>
          <w:tcPr>
            <w:tcW w:type="dxa" w:w="27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CDO / Council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2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3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D2 นโยบาย &amp; มาตรฐาน</w:t>
            </w:r>
          </w:p>
        </w:tc>
        <w:tc>
          <w:tcPr>
            <w:tcW w:type="dxa" w:w="27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Policy &amp; Standards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2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3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D3 บัญชีข้อมูล &amp; Metadata</w:t>
            </w:r>
          </w:p>
        </w:tc>
        <w:tc>
          <w:tcPr>
            <w:tcW w:type="dxa" w:w="27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Data Quality &amp; Architecture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1–2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3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1–2</w:t>
            </w:r>
          </w:p>
        </w:tc>
      </w:tr>
      <w:tr>
        <w:tc>
          <w:tcPr>
            <w:tcW w:type="dxa" w:w="25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B5471F"/>
                <w:sz w:val="28"/>
                <w:szCs w:val="28"/>
              </w:rPr>
              <w:t xml:space="preserve">D4 คุณภาพข้อมูล</w:t>
            </w:r>
          </w:p>
        </w:tc>
        <w:tc>
          <w:tcPr>
            <w:tcW w:type="dxa" w:w="27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Data Quality &amp; Architecture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B5471F"/>
                <w:sz w:val="28"/>
                <w:szCs w:val="28"/>
              </w:rPr>
              <w:t xml:space="preserve">1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3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B5471F"/>
                <w:sz w:val="28"/>
                <w:szCs w:val="2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D5 ความมั่นคง &amp; PDPA</w:t>
            </w:r>
          </w:p>
        </w:tc>
        <w:tc>
          <w:tcPr>
            <w:tcW w:type="dxa" w:w="27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Security &amp; Privacy / DPO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2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3–4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1–2</w:t>
            </w:r>
          </w:p>
        </w:tc>
      </w:tr>
      <w:tr>
        <w:tc>
          <w:tcPr>
            <w:tcW w:type="dxa" w:w="25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D6 การวิเคราะห์ &amp; AI</w:t>
            </w:r>
          </w:p>
        </w:tc>
        <w:tc>
          <w:tcPr>
            <w:tcW w:type="dxa" w:w="27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Analytics &amp; AI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2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3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B5471F"/>
                <w:sz w:val="28"/>
                <w:szCs w:val="28"/>
              </w:rPr>
              <w:t xml:space="preserve">D7 วัฒนธรรม &amp; ขีดความสามารถ</w:t>
            </w:r>
          </w:p>
        </w:tc>
        <w:tc>
          <w:tcPr>
            <w:tcW w:type="dxa" w:w="27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Data Literacy &amp; Enablement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B5471F"/>
                <w:sz w:val="28"/>
                <w:szCs w:val="28"/>
              </w:rPr>
              <w:t xml:space="preserve">1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3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B5471F"/>
                <w:sz w:val="28"/>
                <w:szCs w:val="28"/>
              </w:rPr>
              <w:t xml:space="preserve">2</w:t>
            </w:r>
          </w:p>
        </w:tc>
      </w:tr>
      <w:tr>
        <w:tc>
          <w:tcPr>
            <w:tcW w:type="dxa" w:w="25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D8 แพลตฟอร์ม &amp; บูรณาการ</w:t>
            </w:r>
          </w:p>
        </w:tc>
        <w:tc>
          <w:tcPr>
            <w:tcW w:type="dxa" w:w="27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Data Quality &amp; Architecture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2–3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3–4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1</w:t>
            </w:r>
          </w:p>
        </w:tc>
      </w:tr>
      <w:tr>
        <w:tc>
          <w:tcPr>
            <w:tcW w:type="dxa" w:w="25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ค่าเฉลี่ยรวม</w:t>
            </w:r>
          </w:p>
        </w:tc>
        <w:tc>
          <w:tcPr>
            <w:tcW w:type="dxa" w:w="27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sz w:val="28"/>
                <w:szCs w:val="28"/>
              </w:rPr>
              <w:t xml:space="preserve">—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~1.8</w:t>
            </w:r>
          </w:p>
        </w:tc>
        <w:tc>
          <w:tcPr>
            <w:tcW w:type="dxa" w:w="115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color w:val="0F6E56"/>
                <w:sz w:val="28"/>
                <w:szCs w:val="28"/>
              </w:rPr>
              <w:t xml:space="preserve">~3.1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~1.3</w:t>
            </w:r>
          </w:p>
        </w:tc>
      </w:tr>
    </w:tbl>
    <w:p>
      <w:pPr>
        <w:spacing w:after="120" w:before="60"/>
      </w:pPr>
      <w:r>
        <w:rPr>
          <w:rFonts w:ascii="TH Sarabun New" w:cs="TH Sarabun New" w:eastAsia="TH Sarabun New" w:hAnsi="TH Sarabun New"/>
          <w:color w:val="5F6B70"/>
          <w:sz w:val="26"/>
          <w:szCs w:val="26"/>
        </w:rPr>
        <w:t xml:space="preserve">* ค่าประมาณการ อนุมานจากเอกสาร DGSI ปัจจุบัน (Charter อนุมัติแล้ว = D1 เริ่มมี, Data Platform เริ่มแล้ว = D8 นำหน้า, Data Quality/Literacy ยังไม่เริ่ม = ระดับ 1)</w:t>
      </w: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color w:val="1A2B33"/>
          <w:sz w:val="30"/>
          <w:szCs w:val="30"/>
        </w:rPr>
        <w:t xml:space="preserve">ภาพรวม: มหาวิทยาลัยน่าจะอยู่ราวระดับ 1.5–2 (Initial → Managed) จุดแข็งคือโครงสร้างและแพลตฟอร์มที่เริ่มวางแล้ว (D1, D8) จุดที่ต้องเร่งคือคุณภาพข้อมูล (D4) และวัฒนธรรมข้อมูล (D7) ซึ่งยังอยู่ระดับ 1 — เป้าหมาย 2 ปีคือยกทุกด้านสู่ระดับ 3 (Defined) อย่างทั่วถึง เป็นฐานสู่ระดับ 4–5 ในปี 2573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F6E56"/>
          <w:sz w:val="36"/>
          <w:szCs w:val="36"/>
        </w:rPr>
        <w:t xml:space="preserve">6. การวิเคราะห์ช่องว่าง (Gap Analysis)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2600"/>
        <w:gridCol w:w="2526"/>
      </w:tblGrid>
      <w:tr>
        <w:trPr>
          <w:tblHeader/>
        </w:trP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ลำดับ</w:t>
            </w:r>
          </w:p>
        </w:tc>
        <w:tc>
          <w:tcPr>
            <w:tcW w:type="dxa" w:w="26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ช่องว่างที่ใหญ่ที่สุด</w:t>
            </w:r>
          </w:p>
        </w:tc>
        <w:tc>
          <w:tcPr>
            <w:tcW w:type="dxa" w:w="26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ความเสี่ยงหากไม่ทำ</w:t>
            </w:r>
          </w:p>
        </w:tc>
        <w:tc>
          <w:tcPr>
            <w:tcW w:type="dxa" w:w="2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งานหลักที่ต้องปิดช่องว่าง</w:t>
            </w:r>
          </w:p>
        </w:tc>
      </w:tr>
      <w:t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B5471F"/>
                <w:sz w:val="28"/>
                <w:szCs w:val="28"/>
              </w:rPr>
              <w:t xml:space="preserve">สูง</w:t>
            </w:r>
          </w:p>
        </w:tc>
        <w:tc>
          <w:tcPr>
            <w:tcW w:type="dxa" w:w="26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D4 คุณภาพข้อมูล (1→3)</w:t>
            </w:r>
          </w:p>
        </w:tc>
        <w:tc>
          <w:tcPr>
            <w:tcW w:type="dxa" w:w="26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ตัดสินใจบนข้อมูลผิด เสียความน่าเชื่อถือ</w:t>
            </w:r>
          </w:p>
        </w:tc>
        <w:tc>
          <w:tcPr>
            <w:tcW w:type="dxa" w:w="2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มาตรฐานคุณภาพ + วัด Data Quality Score</w:t>
            </w:r>
          </w:p>
        </w:tc>
      </w:tr>
      <w:t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B5471F"/>
                <w:sz w:val="28"/>
                <w:szCs w:val="28"/>
              </w:rPr>
              <w:t xml:space="preserve">สูง</w:t>
            </w:r>
          </w:p>
        </w:tc>
        <w:tc>
          <w:tcPr>
            <w:tcW w:type="dxa" w:w="26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D7 วัฒนธรรม/Literacy (1→3)</w:t>
            </w:r>
          </w:p>
        </w:tc>
        <w:tc>
          <w:tcPr>
            <w:tcW w:type="dxa" w:w="26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ลงทุนเครื่องมือแต่คนใช้ไม่เป็น</w:t>
            </w:r>
          </w:p>
        </w:tc>
        <w:tc>
          <w:tcPr>
            <w:tcW w:type="dxa" w:w="2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โปรแกรม Data Literacy ทั่วองค์กร</w:t>
            </w:r>
          </w:p>
        </w:tc>
      </w:tr>
      <w:t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8A5A0B"/>
                <w:sz w:val="28"/>
                <w:szCs w:val="28"/>
              </w:rPr>
              <w:t xml:space="preserve">กลาง</w:t>
            </w:r>
          </w:p>
        </w:tc>
        <w:tc>
          <w:tcPr>
            <w:tcW w:type="dxa" w:w="26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D3 บัญชีข้อมูล (1–2→3)</w:t>
            </w:r>
          </w:p>
        </w:tc>
        <w:tc>
          <w:tcPr>
            <w:tcW w:type="dxa" w:w="26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หาข้อมูลไม่เจอ ซ้ำซ้อน</w:t>
            </w:r>
          </w:p>
        </w:tc>
        <w:tc>
          <w:tcPr>
            <w:tcW w:type="dxa" w:w="2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Data Inventory + Catalog (OpenMetadata)</w:t>
            </w:r>
          </w:p>
        </w:tc>
      </w:tr>
      <w:t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8A5A0B"/>
                <w:sz w:val="28"/>
                <w:szCs w:val="28"/>
              </w:rPr>
              <w:t xml:space="preserve">กลาง</w:t>
            </w:r>
          </w:p>
        </w:tc>
        <w:tc>
          <w:tcPr>
            <w:tcW w:type="dxa" w:w="26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D5 PDPA (2→3–4)</w:t>
            </w:r>
          </w:p>
        </w:tc>
        <w:tc>
          <w:tcPr>
            <w:tcW w:type="dxa" w:w="26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เสี่ยงปรับ 5 ลบ. + ชื่อเสียง</w:t>
            </w:r>
          </w:p>
        </w:tc>
        <w:tc>
          <w:tcPr>
            <w:tcW w:type="dxa" w:w="2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DPIA ระบบเสี่ยงสูงครบ 100%</w:t>
            </w:r>
          </w:p>
        </w:tc>
      </w:tr>
      <w:t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color w:val="0F6E56"/>
                <w:sz w:val="28"/>
                <w:szCs w:val="28"/>
              </w:rPr>
              <w:t xml:space="preserve">ต่อยอด</w:t>
            </w:r>
          </w:p>
        </w:tc>
        <w:tc>
          <w:tcPr>
            <w:tcW w:type="dxa" w:w="26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D1·D2·D6·D8 (→3)</w:t>
            </w:r>
          </w:p>
        </w:tc>
        <w:tc>
          <w:tcPr>
            <w:tcW w:type="dxa" w:w="26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ของเริ่มมีแล้ว ต้องทำให้ครบและสม่ำเสมอ</w:t>
            </w:r>
          </w:p>
        </w:tc>
        <w:tc>
          <w:tcPr>
            <w:tcW w:type="dxa" w:w="2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ใช้ Council/นโยบาย/Dashboard จริงทั่วองค์กร</w:t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F6E56"/>
          <w:sz w:val="36"/>
          <w:szCs w:val="36"/>
        </w:rPr>
        <w:t xml:space="preserve">7. แผนปฏิบัติการ 2 ปี รายไตรมาส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0E2A3B"/>
          <w:sz w:val="30"/>
          <w:szCs w:val="30"/>
        </w:rPr>
        <w:t xml:space="preserve">7.1 ปีที่ 1 (ก.ค. 2569 – มิ.ย. 2570) — วางรากฐาน &amp; สร้างมาตรฐาน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2300"/>
        <w:gridCol w:w="1526"/>
      </w:tblGrid>
      <w:tr>
        <w:trPr>
          <w:tblHeader/>
        </w:trP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ไตรมาส</w:t>
            </w:r>
          </w:p>
        </w:tc>
        <w:tc>
          <w:tcPr>
            <w:tcW w:type="dxa" w:w="39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งานหลัก</w:t>
            </w:r>
          </w:p>
        </w:tc>
        <w:tc>
          <w:tcPr>
            <w:tcW w:type="dxa" w:w="2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เจ้าภาพ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ปิดช่องว่าง</w:t>
            </w:r>
          </w:p>
        </w:tc>
      </w:tr>
      <w:t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Q1</w:t>
            </w:r>
          </w:p>
        </w:tc>
        <w:tc>
          <w:tcPr>
            <w:tcW w:type="dxa" w:w="39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ทำ Maturity Assessment จริง · แต่งตั้ง CDO + ตั้ง Council · Steward นำร่อง 3–5 หน่วยงาน</w:t>
            </w:r>
          </w:p>
        </w:tc>
        <w:tc>
          <w:tcPr>
            <w:tcW w:type="dxa" w:w="2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CDO / Council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D1</w:t>
            </w:r>
          </w:p>
        </w:tc>
      </w:tr>
      <w:t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Q2</w:t>
            </w:r>
          </w:p>
        </w:tc>
        <w:tc>
          <w:tcPr>
            <w:tcW w:type="dxa" w:w="39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ประกาศนโยบายธรรมาภิบาล + จำแนกชั้นความลับ · เริ่ม Data Inventory (T01)</w:t>
            </w:r>
          </w:p>
        </w:tc>
        <w:tc>
          <w:tcPr>
            <w:tcW w:type="dxa" w:w="2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Policy &amp; Standards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D2, D3</w:t>
            </w:r>
          </w:p>
        </w:tc>
      </w:tr>
      <w:t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Q3</w:t>
            </w:r>
          </w:p>
        </w:tc>
        <w:tc>
          <w:tcPr>
            <w:tcW w:type="dxa" w:w="39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จัดทำ RoPA + DPIA ระบบเสี่ยงสูง · กำหนดมาตรฐานคุณภาพข้อมูล</w:t>
            </w:r>
          </w:p>
        </w:tc>
        <w:tc>
          <w:tcPr>
            <w:tcW w:type="dxa" w:w="2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DPO / Data Quality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D5, D4</w:t>
            </w:r>
          </w:p>
        </w:tc>
      </w:tr>
      <w:t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Q4</w:t>
            </w:r>
          </w:p>
        </w:tc>
        <w:tc>
          <w:tcPr>
            <w:tcW w:type="dxa" w:w="39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เปิดใช้ Data Catalog (OpenMetadata) · เริ่มวัด KPI ชุดแรก</w:t>
            </w:r>
          </w:p>
        </w:tc>
        <w:tc>
          <w:tcPr>
            <w:tcW w:type="dxa" w:w="2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Data Quality &amp; Architecture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D3, D4</w:t>
            </w:r>
          </w:p>
        </w:tc>
      </w:tr>
    </w:tbl>
    <w:p>
      <w:pPr>
        <w:spacing w:after="160" w:before="80"/>
      </w:pPr>
      <w:r>
        <w:rPr>
          <w:rFonts w:ascii="TH Sarabun New" w:cs="TH Sarabun New" w:eastAsia="TH Sarabun New" w:hAnsi="TH Sarabun New"/>
          <w:b/>
          <w:bCs/>
          <w:color w:val="0F6E56"/>
          <w:sz w:val="28"/>
          <w:szCs w:val="28"/>
        </w:rPr>
        <w:t xml:space="preserve">เป้าสิ้นปีที่ 1: </w:t>
      </w:r>
      <w:r>
        <w:rPr>
          <w:rFonts w:ascii="TH Sarabun New" w:cs="TH Sarabun New" w:eastAsia="TH Sarabun New" w:hAnsi="TH Sarabun New"/>
          <w:color w:val="1A2B33"/>
          <w:sz w:val="28"/>
          <w:szCs w:val="28"/>
        </w:rPr>
        <w:t xml:space="preserve">ทุกด้านขึ้นถึงระดับ 2–3 · มีนโยบาย/มาตรฐาน/Catalog ใช้จริง · เริ่มมีตัวเลขวัดผล</w:t>
      </w:r>
    </w:p>
    <w:p>
      <w:pPr>
        <w:pStyle w:val="Heading2"/>
        <w:spacing w:after="100" w:before="200"/>
      </w:pPr>
      <w:r>
        <w:rPr>
          <w:rFonts w:ascii="TH Sarabun New" w:cs="TH Sarabun New" w:eastAsia="TH Sarabun New" w:hAnsi="TH Sarabun New"/>
          <w:b/>
          <w:bCs/>
          <w:color w:val="0E2A3B"/>
          <w:sz w:val="30"/>
          <w:szCs w:val="30"/>
        </w:rPr>
        <w:t xml:space="preserve">7.2 ปีที่ 2 (ก.ค. 2570 – มิ.ย. 2571) — ใช้จริงทั่วองค์กร &amp; ยกระดับ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900"/>
        <w:gridCol w:w="2300"/>
        <w:gridCol w:w="1526"/>
      </w:tblGrid>
      <w:tr>
        <w:trPr>
          <w:tblHeader/>
        </w:trP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ไตรมาส</w:t>
            </w:r>
          </w:p>
        </w:tc>
        <w:tc>
          <w:tcPr>
            <w:tcW w:type="dxa" w:w="39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งานหลัก</w:t>
            </w:r>
          </w:p>
        </w:tc>
        <w:tc>
          <w:tcPr>
            <w:tcW w:type="dxa" w:w="2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เจ้าภาพ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0F6E5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rFonts w:ascii="TH Sarabun New" w:cs="TH Sarabun New" w:eastAsia="TH Sarabun New" w:hAnsi="TH Sarabun New"/>
                <w:b/>
                <w:bCs/>
                <w:color w:val="FFFFFF"/>
                <w:sz w:val="28"/>
                <w:szCs w:val="28"/>
              </w:rPr>
              <w:t xml:space="preserve">ปิดช่องว่าง</w:t>
            </w:r>
          </w:p>
        </w:tc>
      </w:tr>
      <w:t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Q5</w:t>
            </w:r>
          </w:p>
        </w:tc>
        <w:tc>
          <w:tcPr>
            <w:tcW w:type="dxa" w:w="39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ขับเคลื่อน Data Literacy ทั่วองค์กร · ขยาย Inventory/Catalog ทุกหน่วยงานหลัก</w:t>
            </w:r>
          </w:p>
        </w:tc>
        <w:tc>
          <w:tcPr>
            <w:tcW w:type="dxa" w:w="2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Data Literacy / Architecture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D7, D3</w:t>
            </w:r>
          </w:p>
        </w:tc>
      </w:tr>
      <w:t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Q6</w:t>
            </w:r>
          </w:p>
        </w:tc>
        <w:tc>
          <w:tcPr>
            <w:tcW w:type="dxa" w:w="39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Dashboard ผู้บริหารใช้จริงในการประชุม · ยกคุณภาพข้อมูลสู่ DQ Score ≥ 90%</w:t>
            </w:r>
          </w:p>
        </w:tc>
        <w:tc>
          <w:tcPr>
            <w:tcW w:type="dxa" w:w="2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Analytics &amp; AI / Data Quality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D6, D4</w:t>
            </w:r>
          </w:p>
        </w:tc>
      </w:tr>
      <w:t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Q7</w:t>
            </w:r>
          </w:p>
        </w:tc>
        <w:tc>
          <w:tcPr>
            <w:tcW w:type="dxa" w:w="39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DPIA ครบ 100% ระบบเสี่ยงสูง · เริ่ม Advanced Analytics + AI Ethics Review</w:t>
            </w:r>
          </w:p>
        </w:tc>
        <w:tc>
          <w:tcPr>
            <w:tcW w:type="dxa" w:w="2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DPO / Analytics &amp; AI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D5, D6</w:t>
            </w:r>
          </w:p>
        </w:tc>
      </w:tr>
      <w:tr>
        <w:tc>
          <w:tcPr>
            <w:tcW w:type="dxa" w:w="1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/>
                <w:bCs/>
                <w:sz w:val="28"/>
                <w:szCs w:val="28"/>
              </w:rPr>
              <w:t xml:space="preserve">Q8</w:t>
            </w:r>
          </w:p>
        </w:tc>
        <w:tc>
          <w:tcPr>
            <w:tcW w:type="dxa" w:w="39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ประเมิน Maturity ซ้ำเทียบเป้า · Data Literacy ≥ 60% · ทบทวนแผนสู่ปี 2573</w:t>
            </w:r>
          </w:p>
        </w:tc>
        <w:tc>
          <w:tcPr>
            <w:tcW w:type="dxa" w:w="2300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CDO / Council</w:t>
            </w:r>
          </w:p>
        </w:tc>
        <w:tc>
          <w:tcPr>
            <w:tcW w:type="dxa" w:w="15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F4F1EA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color w:val="1A2B33"/>
                <w:sz w:val="28"/>
                <w:szCs w:val="28"/>
              </w:rPr>
              <w:t xml:space="preserve">D7, ทุกด้าน</w:t>
            </w:r>
          </w:p>
        </w:tc>
      </w:tr>
    </w:tbl>
    <w:p>
      <w:pPr>
        <w:spacing w:before="80"/>
      </w:pPr>
      <w:r>
        <w:rPr>
          <w:rFonts w:ascii="TH Sarabun New" w:cs="TH Sarabun New" w:eastAsia="TH Sarabun New" w:hAnsi="TH Sarabun New"/>
          <w:b/>
          <w:bCs/>
          <w:color w:val="0F6E56"/>
          <w:sz w:val="28"/>
          <w:szCs w:val="28"/>
        </w:rPr>
        <w:t xml:space="preserve">เป้าสิ้นปีที่ 2: </w:t>
      </w:r>
      <w:r>
        <w:rPr>
          <w:rFonts w:ascii="TH Sarabun New" w:cs="TH Sarabun New" w:eastAsia="TH Sarabun New" w:hAnsi="TH Sarabun New"/>
          <w:color w:val="1A2B33"/>
          <w:sz w:val="28"/>
          <w:szCs w:val="28"/>
        </w:rPr>
        <w:t xml:space="preserve">ค่าเฉลี่ย Maturity ≥ 3 (Defined) ทั่วองค์กร · KPI หลักเข้าเป้า · พร้อมต่อยอดสู่ระดับ 4–5</w:t>
      </w:r>
    </w:p>
    <w:p>
      <w:r>
        <w:br w:type="page"/>
      </w:r>
    </w:p>
    <w:p>
      <w:pPr>
        <w:pStyle w:val="Heading1"/>
        <w:spacing w:after="140" w:before="280"/>
      </w:pPr>
      <w:r>
        <w:rPr>
          <w:rFonts w:ascii="TH Sarabun New" w:cs="TH Sarabun New" w:eastAsia="TH Sarabun New" w:hAnsi="TH Sarabun New"/>
          <w:b/>
          <w:bCs/>
          <w:color w:val="0F6E56"/>
          <w:sz w:val="36"/>
          <w:szCs w:val="36"/>
        </w:rPr>
        <w:t xml:space="preserve">8. ข้อเสนอเชิงนโยบายเพื่อขออนุมัติ</w:t>
      </w:r>
    </w:p>
    <w:p>
      <w:pPr>
        <w:spacing w:after="100" w:line="300"/>
        <w:jc w:val="both"/>
      </w:pPr>
      <w:r>
        <w:rPr>
          <w:rFonts w:ascii="TH Sarabun New" w:cs="TH Sarabun New" w:eastAsia="TH Sarabun New" w:hAnsi="TH Sarabun New"/>
          <w:color w:val="1A2B33"/>
          <w:sz w:val="30"/>
          <w:szCs w:val="30"/>
        </w:rPr>
        <w:t xml:space="preserve">ขอให้ผู้บริหารและสภามหาวิทยาลัยพิจารณา: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อนุมัติเชิงหลักการให้จัดตั้ง/ยกระดับศูนย์ฯ เป็นหน่วยงานระดับองค์กรที่รายงานตรงต่อผู้บริหารระดับสูง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แต่งตั้ง CDO และ Data Governance Council เพื่อให้มีอำนาจกำกับข้ามหน่วยงาน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สนับสนุนงบประมาณสำหรับบุคลากรหลัก แพลตฟอร์มข้อมูล และโปรแกรม Data Literacy ตามระยะใน Roadmap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กำหนดให้รายงาน KPI ต่อสภามหาวิทยาลัยอย่างน้อยปีละ 2 ครั้ง เพื่อติดตามความก้าวหน้าสู่ Outstanding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TH Sarabun New" w:cs="TH Sarabun New" w:eastAsia="TH Sarabun New" w:hAnsi="TH Sarabun New"/>
          <w:sz w:val="30"/>
          <w:szCs w:val="30"/>
        </w:rPr>
        <w:t xml:space="preserve">บรรจุเป้าหมายข้อมูลเป็นส่วนหนึ่งของแผนยุทธศาสตร์มหาวิทยาลัยและการประกันคุณภาพ (EdPEx/AUN-QA)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9D6D1" w:sz="4"/>
              <w:left w:val="single" w:color="C9D6D1" w:sz="4"/>
              <w:bottom w:val="single" w:color="C9D6D1" w:sz="4"/>
              <w:right w:val="single" w:color="C9D6D1" w:sz="4"/>
            </w:tcBorders>
            <w:shd w:fill="EAF3E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300"/>
            </w:pPr>
            <w:r>
              <w:rPr>
                <w:rFonts w:ascii="TH Sarabun New" w:cs="TH Sarabun New" w:eastAsia="TH Sarabun New" w:hAnsi="TH Sarabun New"/>
                <w:b/>
                <w:bCs/>
                <w:color w:val="0F6E56"/>
                <w:sz w:val="30"/>
                <w:szCs w:val="30"/>
              </w:rPr>
              <w:t xml:space="preserve">ผลที่คาดว่าจะได้รับ: </w:t>
            </w:r>
            <w:r>
              <w:rPr>
                <w:rFonts w:ascii="TH Sarabun New" w:cs="TH Sarabun New" w:eastAsia="TH Sarabun New" w:hAnsi="TH Sarabun New"/>
                <w:color w:val="1A2B33"/>
                <w:sz w:val="30"/>
                <w:szCs w:val="30"/>
              </w:rPr>
              <w:t xml:space="preserve">ภายในปี 2573 มหาวิทยาลัยจะเป็น Responsible Data-Driven University ที่ตัดสินใจด้วยข้อมูลอย่างชาญฉลาดและรับผิดชอบ มีความได้เปรียบเชิงแข่งขันที่ยั่งยืน และโดดเด่น (Outstanding) ในระดับ Data Maturity 4–5</w:t>
            </w:r>
          </w:p>
        </w:tc>
      </w:tr>
    </w:tbl>
    <w:p>
      <w:pPr>
        <w:spacing w:after="80"/>
      </w:pPr>
    </w:p>
    <w:p>
      <w:pPr>
        <w:spacing w:line="290"/>
      </w:pPr>
      <w:r>
        <w:rPr>
          <w:rFonts w:ascii="TH Sarabun New" w:cs="TH Sarabun New" w:eastAsia="TH Sarabun New" w:hAnsi="TH Sarabun New"/>
          <w:b/>
          <w:bCs/>
          <w:color w:val="5F6B70"/>
          <w:sz w:val="26"/>
          <w:szCs w:val="26"/>
        </w:rPr>
        <w:t xml:space="preserve">หมายเหตุ: </w:t>
      </w:r>
      <w:r>
        <w:rPr>
          <w:rFonts w:ascii="TH Sarabun New" w:cs="TH Sarabun New" w:eastAsia="TH Sarabun New" w:hAnsi="TH Sarabun New"/>
          <w:color w:val="5F6B70"/>
          <w:sz w:val="26"/>
          <w:szCs w:val="26"/>
        </w:rPr>
        <w:t xml:space="preserve">ตัวเลข baseline และค่าประเมินในเอกสารนี้เป็นค่าประมาณเพื่อการนำเสนอ ควรยืนยันด้วยการสำรวจสถานะจริง (Data Maturity Assessment) ในระยะที่ 1 ก่อนผูกเป็นเป้าหมายผูกพัน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H Sarabun New" w:cs="TH Sarabun New" w:eastAsia="TH Sarabun New" w:hAnsi="TH Sarabun New"/>
        <w:color w:val="5F6B70"/>
        <w:sz w:val="24"/>
        <w:szCs w:val="24"/>
      </w:rPr>
      <w:t xml:space="preserve">ศูนย์ธรรมาภิบาลข้อมูลและยุทธศาสตร์อัจฉริยะ (DGSI)  ·  หน้า </w:t>
    </w:r>
    <w:r>
      <w:rPr>
        <w:rFonts w:ascii="TH Sarabun New" w:cs="TH Sarabun New" w:eastAsia="TH Sarabun New" w:hAnsi="TH Sarabun New"/>
        <w:color w:val="5F6B7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H Sarabun New" w:cs="TH Sarabun New" w:eastAsia="TH Sarabun New" w:hAnsi="TH Sarabun New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TH Sarabun New" w:cs="TH Sarabun New" w:eastAsia="TH Sarabun New" w:hAnsi="TH Sarabun New"/>
      <w:b/>
      <w:bCs/>
      <w:color w:val="0F6E5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H Sarabun New" w:cs="TH Sarabun New" w:eastAsia="TH Sarabun New" w:hAnsi="TH Sarabun New"/>
      <w:b/>
      <w:bCs/>
      <w:color w:val="0E2A3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ข้อเสนอเชิงยุทธศาสตร์ต่อผู้บริหาร — ศูนย์ DGSI</dc:title>
  <dc:creator>ศูนย์ DGSI</dc:creator>
  <cp:lastModifiedBy>Un-named</cp:lastModifiedBy>
  <cp:revision>1</cp:revision>
  <dcterms:created xsi:type="dcterms:W3CDTF">2026-06-25T05:15:48.430Z</dcterms:created>
  <dcterms:modified xsi:type="dcterms:W3CDTF">2026-06-25T05:15:48.431Z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