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ประจำเดือน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ปีงบประมาณ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56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วันที่รับ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เลขที่เอกสารจัดซื้อ /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ใบส่งของ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ผู้ขาย / ผู้แทนจำหน่าย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รหัสอะไหล่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ชื่ออะไหล่</w:t>
            </w:r>
          </w:p>
        </w:tc>
        <w:tc>
          <w:tcPr>
            <w:tcW w:type="dxa" w:w="73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จำนวน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ที่รับ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ราคา/หน่วย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(บาท)</w:t>
            </w:r>
          </w:p>
        </w:tc>
        <w:tc>
          <w:tcPr>
            <w:tcW w:type="dxa" w:w="130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Lot / Serial No.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วันหมดอายุ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(ถ้ามี)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ตำแหน่ง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จัดเก็บ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ผลการตรวจ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สภาพ*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ผู้รับ</w:t>
            </w:r>
          </w:p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8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9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10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11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  <w:tr>
        <w:trPr>
          <w:trHeight w:val="425"/>
        </w:trPr>
        <w:tc>
          <w:tcPr>
            <w:tcW w:type="dxa" w:w="117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12</w:t>
            </w:r>
          </w:p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  <w:tc>
          <w:tcPr>
            <w:tcW w:type="dxa" w:w="1178"/>
          </w:tcPr>
          <w:p/>
        </w:tc>
      </w:tr>
    </w:tbl>
    <w:p>
      <w:pPr>
        <w:spacing w:after="40" w:before="8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* ผลการตรวจสภาพ : ผ่าน / ไม่ผ่าน (กรณีไม่ผ่าน ระบุเหตุผลในช่องและแจ้งเจ้าหน้าที่พัสดุ) — อะไหล่ต้องผ่านการตรวจรับพัสดุตามระเบียบฯ พ.ศ. 2560 ก่อนนำเข้าคลัง (ข้อ 6.3 WI-MED-007)</w:t>
      </w:r>
    </w:p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c>
          <w:tcPr>
            <w:tcW w:type="dxa" w:w="7654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เจ้าหน้าที่คลังอะไหล่ (ผู้บันทึก)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หัวหน้างานเครื่องมือแพทย์ (ผู้ตรวจสอบ)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680" w:right="68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5102"/>
      <w:gridCol w:w="5102"/>
      <w:gridCol w:w="5102"/>
    </w:tblGrid>
    <w:tr>
      <w:tc>
        <w:tcPr>
          <w:tcW w:type="dxa" w:w="1814"/>
          <w:vMerge w:val="restart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โรงพยาบาลนครพิงค์</w:t>
          </w:r>
          <w:r>
            <w:br/>
          </w: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เอกสารคุณภาพ</w:t>
          </w:r>
        </w:p>
      </w:tc>
      <w:tc>
        <w:tcPr>
          <w:tcW w:type="dxa" w:w="11679"/>
          <w:shd w:val="clear" w:fill="D9D9D9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8"/>
              <w:szCs w:val="28"/>
              <w:bCs/>
            </w:rPr>
            <w:t>บันทึกรับอะไหล่เข้าคลัง</w:t>
          </w:r>
        </w:p>
      </w:tc>
      <w:tc>
        <w:tcPr>
          <w:tcW w:type="dxa" w:w="1814"/>
          <w:vAlign w:val="center"/>
        </w:tcPr>
        <w:p>
          <w:pPr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PAGE </w:instrText>
            <w:fldChar w:fldCharType="end"/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 จาก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NUMPAGES </w:instrText>
            <w:fldChar w:fldCharType="end"/>
          </w:r>
        </w:p>
      </w:tc>
    </w:tr>
    <w:tr>
      <w:tc>
        <w:tcPr>
          <w:tcW w:type="dxa" w:w="1814"/>
          <w:vMerge/>
        </w:tcPr>
        <w:p/>
      </w:tc>
      <w:tc>
        <w:tcPr>
          <w:tcW w:type="dxa" w:w="11679"/>
          <w:vAlign w:val="center"/>
        </w:tcPr>
        <w:p>
          <w:pPr>
            <w:spacing w:after="0"/>
            <w:jc w:val="left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รหัสแบบฟอร์ม : FM-MED-007-03   แก้ไขครั้งที่ : 00   วันที่บังคับใช้ : 1 กรกฎาคม 2569   (เอกสารประกอบ WI-MED-007)</w:t>
          </w:r>
        </w:p>
      </w:tc>
      <w:tc>
        <w:tcPr>
          <w:tcW w:type="dxa" w:w="1814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งานเครื่องมือแพทย์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