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563EB"/>
          <w:spacing w:val="20"/>
          <w:sz w:val="30"/>
          <w:szCs w:val="30"/>
        </w:rPr>
        <w:t xml:space="preserve">RETAIL SALES</w:t>
      </w:r>
    </w:p>
    <w:p>
      <w:pPr>
        <w:spacing w:after="60" w:before="80"/>
        <w:jc w:val="center"/>
      </w:pPr>
      <w:r>
        <w:rPr>
          <w:b/>
          <w:bCs/>
          <w:color w:val="1E3A5F"/>
          <w:sz w:val="56"/>
          <w:szCs w:val="56"/>
        </w:rPr>
        <w:t xml:space="preserve">Data Analysis &amp; Predictive Modeling Report</w:t>
      </w:r>
    </w:p>
    <w:p>
      <w:pPr>
        <w:pBdr>
          <w:bottom w:val="single" w:color="F97316" w:sz="18" w:space="10"/>
        </w:pBdr>
        <w:spacing w:after="700"/>
        <w:jc w:val="center"/>
      </w:pPr>
      <w:r>
        <w:rPr>
          <w:i/>
          <w:iCs/>
          <w:color w:val="6B7280"/>
          <w:sz w:val="24"/>
          <w:szCs w:val="24"/>
        </w:rPr>
        <w:t xml:space="preserve">An End-to-End Real-World Data Science Project — Retail Domain</w:t>
      </w:r>
    </w:p>
    <w:p>
      <w:pPr>
        <w:spacing w:after="40" w:before="900"/>
        <w:jc w:val="center"/>
      </w:pPr>
      <w:r>
        <w:rPr>
          <w:color w:val="1E3A5F"/>
          <w:sz w:val="22"/>
          <w:szCs w:val="22"/>
        </w:rPr>
        <w:t xml:space="preserve">Prepared for: Applied Data Science Coursework</w:t>
      </w:r>
    </w:p>
    <w:p>
      <w:pPr>
        <w:spacing w:after="40"/>
        <w:jc w:val="center"/>
      </w:pPr>
      <w:r>
        <w:rPr>
          <w:color w:val="1E3A5F"/>
          <w:sz w:val="22"/>
          <w:szCs w:val="22"/>
        </w:rPr>
        <w:t xml:space="preserve">Dataset: retail_sales_dataset.csv  |  6,500 Orders  |  2024–2025</w:t>
      </w:r>
    </w:p>
    <w:p>
      <w:pPr>
        <w:spacing w:after="40"/>
        <w:jc w:val="center"/>
      </w:pPr>
      <w:r>
        <w:rPr>
          <w:color w:val="1E3A5F"/>
          <w:sz w:val="22"/>
          <w:szCs w:val="22"/>
        </w:rPr>
        <w:t xml:space="preserve">Report Date: 24 September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2563EB" w:sz="8" w:space="4"/>
        </w:pBdr>
        <w:spacing w:after="180" w:before="420"/>
      </w:pPr>
      <w:r>
        <w:rPr>
          <w:b/>
          <w:bCs/>
          <w:color w:val="1E3A5F"/>
        </w:rPr>
        <w:t xml:space="preserve">Executive Summary</w:t>
      </w:r>
    </w:p>
    <w:p>
      <w:pPr>
        <w:spacing w:after="160" w:line="300"/>
      </w:pPr>
      <w:r>
        <w:rPr>
          <w:sz w:val="22"/>
          <w:szCs w:val="22"/>
        </w:rPr>
        <w:t xml:space="preserve">This report presents an end-to-end data science analysis of a two-year retail transaction dataset spanning 6500 orders, 1482 unique customers, five regions, and three product categories. The objective was to uncover sales and profitability drivers, identify seasonal patterns, and build predictive models to support inventory, pricing, and marketing decisions.</w:t>
      </w:r>
    </w:p>
    <w:p>
      <w:pPr>
        <w:spacing w:after="160" w:line="300"/>
      </w:pPr>
      <w:r>
        <w:rPr>
          <w:sz w:val="22"/>
          <w:szCs w:val="22"/>
        </w:rPr>
        <w:t xml:space="preserve">Across the analysis period, the business generated total sales of £5,983,894 with a total profit of £222,951, representing an overall margin of 3.7%. The average order value was £920.60. Methodology followed a standard applied data science pipeline: data quality checks, exploratory data analysis, statistical relationship testing, and machine learning-based prediction (Random Forest regression for profit, linear trend regression for sales forecasting).</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shd w:fill="F3F4F6" w:val="clear"/>
            <w:tcMar>
              <w:top w:type="dxa" w:w="160"/>
              <w:left w:type="dxa" w:w="120"/>
              <w:bottom w:type="dxa" w:w="160"/>
              <w:right w:type="dxa" w:w="120"/>
            </w:tcMar>
          </w:tcPr>
          <w:p>
            <w:pPr>
              <w:spacing w:after="40"/>
              <w:jc w:val="center"/>
            </w:pPr>
            <w:r>
              <w:rPr>
                <w:b/>
                <w:bCs/>
                <w:color w:val="2563EB"/>
                <w:sz w:val="30"/>
                <w:szCs w:val="30"/>
              </w:rPr>
              <w:t xml:space="preserve">£5,983,894</w:t>
            </w:r>
          </w:p>
          <w:p>
            <w:pPr>
              <w:jc w:val="center"/>
            </w:pPr>
            <w:r>
              <w:rPr>
                <w:color w:val="6B7280"/>
                <w:sz w:val="17"/>
                <w:szCs w:val="17"/>
              </w:rPr>
              <w:t xml:space="preserve">Total Sales</w:t>
            </w:r>
          </w:p>
        </w:tc>
        <w:tc>
          <w:tcPr>
            <w:tcW w:type="pct" w:w="25%"/>
            <w:shd w:fill="F3F4F6" w:val="clear"/>
            <w:tcMar>
              <w:top w:type="dxa" w:w="160"/>
              <w:left w:type="dxa" w:w="120"/>
              <w:bottom w:type="dxa" w:w="160"/>
              <w:right w:type="dxa" w:w="120"/>
            </w:tcMar>
          </w:tcPr>
          <w:p>
            <w:pPr>
              <w:spacing w:after="40"/>
              <w:jc w:val="center"/>
            </w:pPr>
            <w:r>
              <w:rPr>
                <w:b/>
                <w:bCs/>
                <w:color w:val="10B981"/>
                <w:sz w:val="30"/>
                <w:szCs w:val="30"/>
              </w:rPr>
              <w:t xml:space="preserve">£222,951</w:t>
            </w:r>
          </w:p>
          <w:p>
            <w:pPr>
              <w:jc w:val="center"/>
            </w:pPr>
            <w:r>
              <w:rPr>
                <w:color w:val="6B7280"/>
                <w:sz w:val="17"/>
                <w:szCs w:val="17"/>
              </w:rPr>
              <w:t xml:space="preserve">Total Profit</w:t>
            </w:r>
          </w:p>
        </w:tc>
        <w:tc>
          <w:tcPr>
            <w:tcW w:type="pct" w:w="25%"/>
            <w:shd w:fill="F3F4F6" w:val="clear"/>
            <w:tcMar>
              <w:top w:type="dxa" w:w="160"/>
              <w:left w:type="dxa" w:w="120"/>
              <w:bottom w:type="dxa" w:w="160"/>
              <w:right w:type="dxa" w:w="120"/>
            </w:tcMar>
          </w:tcPr>
          <w:p>
            <w:pPr>
              <w:spacing w:after="40"/>
              <w:jc w:val="center"/>
            </w:pPr>
            <w:r>
              <w:rPr>
                <w:b/>
                <w:bCs/>
                <w:color w:val="F97316"/>
                <w:sz w:val="30"/>
                <w:szCs w:val="30"/>
              </w:rPr>
              <w:t xml:space="preserve">3.7%</w:t>
            </w:r>
          </w:p>
          <w:p>
            <w:pPr>
              <w:jc w:val="center"/>
            </w:pPr>
            <w:r>
              <w:rPr>
                <w:color w:val="6B7280"/>
                <w:sz w:val="17"/>
                <w:szCs w:val="17"/>
              </w:rPr>
              <w:t xml:space="preserve">Overall Margin</w:t>
            </w:r>
          </w:p>
        </w:tc>
        <w:tc>
          <w:tcPr>
            <w:tcW w:type="pct" w:w="25%"/>
            <w:shd w:fill="F3F4F6" w:val="clear"/>
            <w:tcMar>
              <w:top w:type="dxa" w:w="160"/>
              <w:left w:type="dxa" w:w="120"/>
              <w:bottom w:type="dxa" w:w="160"/>
              <w:right w:type="dxa" w:w="120"/>
            </w:tcMar>
          </w:tcPr>
          <w:p>
            <w:pPr>
              <w:spacing w:after="40"/>
              <w:jc w:val="center"/>
            </w:pPr>
            <w:r>
              <w:rPr>
                <w:b/>
                <w:bCs/>
                <w:color w:val="1E3A5F"/>
                <w:sz w:val="30"/>
                <w:szCs w:val="30"/>
              </w:rPr>
              <w:t xml:space="preserve">£920.60</w:t>
            </w:r>
          </w:p>
          <w:p>
            <w:pPr>
              <w:jc w:val="center"/>
            </w:pPr>
            <w:r>
              <w:rPr>
                <w:color w:val="6B7280"/>
                <w:sz w:val="17"/>
                <w:szCs w:val="17"/>
              </w:rPr>
              <w:t xml:space="preserve">Avg Order Value</w:t>
            </w:r>
          </w:p>
        </w:tc>
      </w:tr>
    </w:tbl>
    <w:p>
      <w:pPr>
        <w:spacing w:after="200"/>
      </w:pPr>
    </w:p>
    <w:p>
      <w:pPr>
        <w:pStyle w:val="Heading1"/>
        <w:pBdr>
          <w:bottom w:val="single" w:color="2563EB" w:sz="8" w:space="4"/>
        </w:pBdr>
        <w:spacing w:after="180" w:before="420"/>
      </w:pPr>
      <w:r>
        <w:rPr>
          <w:b/>
          <w:bCs/>
          <w:color w:val="1E3A5F"/>
        </w:rPr>
        <w:t xml:space="preserve">1. Methodology</w:t>
      </w:r>
    </w:p>
    <w:p>
      <w:pPr>
        <w:spacing w:after="160" w:line="300"/>
      </w:pPr>
      <w:r>
        <w:rPr>
          <w:sz w:val="22"/>
          <w:szCs w:val="22"/>
        </w:rPr>
        <w:t xml:space="preserve">This project followed a structured, reproducible data science workflow:</w:t>
      </w:r>
    </w:p>
    <w:p>
      <w:pPr>
        <w:pStyle w:val="ListParagraph"/>
        <w:numPr>
          <w:ilvl w:val="0"/>
          <w:numId w:val="2"/>
        </w:numPr>
        <w:spacing w:after="90"/>
      </w:pPr>
      <w:r>
        <w:rPr>
          <w:sz w:val="22"/>
          <w:szCs w:val="22"/>
        </w:rPr>
        <w:t xml:space="preserve">Data Generation &amp; Quality Assurance — validated for completeness, correct types, and logical ranges (6,500 orders, 0 missing values).</w:t>
      </w:r>
    </w:p>
    <w:p>
      <w:pPr>
        <w:pStyle w:val="ListParagraph"/>
        <w:numPr>
          <w:ilvl w:val="0"/>
          <w:numId w:val="2"/>
        </w:numPr>
        <w:spacing w:after="90"/>
      </w:pPr>
      <w:r>
        <w:rPr>
          <w:sz w:val="22"/>
          <w:szCs w:val="22"/>
        </w:rPr>
        <w:t xml:space="preserve">Exploratory Data Analysis (EDA) — trend analysis, category/regional/segment breakdowns, and outlier review.</w:t>
      </w:r>
    </w:p>
    <w:p>
      <w:pPr>
        <w:pStyle w:val="ListParagraph"/>
        <w:numPr>
          <w:ilvl w:val="0"/>
          <w:numId w:val="2"/>
        </w:numPr>
        <w:spacing w:after="90"/>
      </w:pPr>
      <w:r>
        <w:rPr>
          <w:sz w:val="22"/>
          <w:szCs w:val="22"/>
        </w:rPr>
        <w:t xml:space="preserve">Statistical Relationship Analysis — correlation matrix and discount-vs-margin investigation.</w:t>
      </w:r>
    </w:p>
    <w:p>
      <w:pPr>
        <w:pStyle w:val="ListParagraph"/>
        <w:numPr>
          <w:ilvl w:val="0"/>
          <w:numId w:val="2"/>
        </w:numPr>
        <w:spacing w:after="90"/>
      </w:pPr>
      <w:r>
        <w:rPr>
          <w:sz w:val="22"/>
          <w:szCs w:val="22"/>
        </w:rPr>
        <w:t xml:space="preserve">Predictive Modeling — a linear trend model for short-term sales forecasting, and a Random Forest Regressor to predict order-level profit from operational features.</w:t>
      </w:r>
    </w:p>
    <w:p>
      <w:pPr>
        <w:pStyle w:val="ListParagraph"/>
        <w:numPr>
          <w:ilvl w:val="0"/>
          <w:numId w:val="2"/>
        </w:numPr>
        <w:spacing w:after="90"/>
      </w:pPr>
      <w:r>
        <w:rPr>
          <w:sz w:val="22"/>
          <w:szCs w:val="22"/>
        </w:rPr>
        <w:t xml:space="preserve">Model Evaluation — R² and Mean Absolute Error (MAE) on a held-out 20% test set.</w:t>
      </w:r>
    </w:p>
    <w:p>
      <w:pPr>
        <w:pStyle w:val="ListParagraph"/>
        <w:numPr>
          <w:ilvl w:val="0"/>
          <w:numId w:val="2"/>
        </w:numPr>
        <w:spacing w:after="90"/>
      </w:pPr>
      <w:r>
        <w:rPr>
          <w:sz w:val="22"/>
          <w:szCs w:val="22"/>
        </w:rPr>
        <w:t xml:space="preserve">Business Recommendations — translated statistical findings into actionable retail strategy.</w:t>
      </w:r>
    </w:p>
    <w:p>
      <w:pPr>
        <w:spacing w:after="160" w:line="300"/>
      </w:pPr>
      <w:r>
        <w:rPr>
          <w:i/>
          <w:iCs/>
          <w:color w:val="6B7280"/>
          <w:sz w:val="20"/>
          <w:szCs w:val="20"/>
        </w:rPr>
        <w:t xml:space="preserve">Tools used: Python (pandas, NumPy, scikit-learn, matplotlib, seaborn) within a Jupyter notebook environment.</w:t>
      </w:r>
    </w:p>
    <w:p>
      <w:pPr>
        <w:pStyle w:val="Heading1"/>
        <w:pBdr>
          <w:bottom w:val="single" w:color="2563EB" w:sz="8" w:space="4"/>
        </w:pBdr>
        <w:spacing w:after="180" w:before="420"/>
      </w:pPr>
      <w:r>
        <w:rPr>
          <w:b/>
          <w:bCs/>
          <w:color w:val="1E3A5F"/>
        </w:rPr>
        <w:t xml:space="preserve">2. Monthly Sales &amp; Profit Trend</w:t>
      </w:r>
    </w:p>
    <w:p>
      <w:pPr>
        <w:spacing w:after="100" w:before="150"/>
        <w:jc w:val="center"/>
      </w:pPr>
      <w:r>
        <w:drawing>
          <wp:inline distT="0" distB="0" distL="0" distR="0">
            <wp:extent cx="5760720" cy="28366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36689"/>
                    </a:xfrm>
                    <a:prstGeom prst="rect">
                      <a:avLst/>
                    </a:prstGeom>
                  </pic:spPr>
                </pic:pic>
              </a:graphicData>
            </a:graphic>
          </wp:inline>
        </w:drawing>
      </w:r>
    </w:p>
    <w:p>
      <w:pPr>
        <w:spacing w:after="260"/>
        <w:jc w:val="center"/>
      </w:pPr>
      <w:r>
        <w:rPr>
          <w:i/>
          <w:iCs/>
          <w:color w:val="6B7280"/>
          <w:sz w:val="18"/>
          <w:szCs w:val="18"/>
        </w:rPr>
        <w:t xml:space="preserve">Figure 1. Monthly sales (bars) and profit (line) across 2024–2025.</w:t>
      </w:r>
    </w:p>
    <w:p>
      <w:pPr>
        <w:spacing w:after="160" w:line="300"/>
      </w:pPr>
      <w:r>
        <w:rPr>
          <w:sz w:val="22"/>
          <w:szCs w:val="22"/>
        </w:rPr>
        <w:t xml:space="preserve">Sales and profit both exhibit a pronounced seasonal spike in November of each year, consistent with holiday-driven retail demand, before returning to baseline in the following quarter. This pattern should directly inform inventory build-up, staffing, and cash-flow planning ahead of Q4.</w:t>
      </w:r>
    </w:p>
    <w:p>
      <w:pPr>
        <w:pStyle w:val="Heading1"/>
        <w:pBdr>
          <w:bottom w:val="single" w:color="2563EB" w:sz="8" w:space="4"/>
        </w:pBdr>
        <w:spacing w:after="180" w:before="420"/>
      </w:pPr>
      <w:r>
        <w:rPr>
          <w:b/>
          <w:bCs/>
          <w:color w:val="1E3A5F"/>
        </w:rPr>
        <w:t xml:space="preserve">3. Category Performance</w:t>
      </w:r>
    </w:p>
    <w:p>
      <w:pPr>
        <w:spacing w:after="100" w:before="150"/>
        <w:jc w:val="center"/>
      </w:pPr>
      <w:r>
        <w:drawing>
          <wp:inline distT="0" distB="0" distL="0" distR="0">
            <wp:extent cx="5760720" cy="23918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91898"/>
                    </a:xfrm>
                    <a:prstGeom prst="rect">
                      <a:avLst/>
                    </a:prstGeom>
                  </pic:spPr>
                </pic:pic>
              </a:graphicData>
            </a:graphic>
          </wp:inline>
        </w:drawing>
      </w:r>
    </w:p>
    <w:p>
      <w:pPr>
        <w:spacing w:after="260"/>
        <w:jc w:val="center"/>
      </w:pPr>
      <w:r>
        <w:rPr>
          <w:i/>
          <w:iCs/>
          <w:color w:val="6B7280"/>
          <w:sz w:val="18"/>
          <w:szCs w:val="18"/>
        </w:rPr>
        <w:t xml:space="preserve">Figure 2. Total sales and profit by product category.</w:t>
      </w:r>
    </w:p>
    <w:p>
      <w:pPr>
        <w:spacing w:after="160" w:line="300"/>
      </w:pPr>
      <w:r>
        <w:rPr>
          <w:sz w:val="22"/>
          <w:szCs w:val="22"/>
        </w:rPr>
        <w:t xml:space="preserve">Technology generates the highest total sales value of the three categories. However, sales leadership does not always translate directly into margin leadership — the sub-category breakdown below explores this further.</w:t>
      </w:r>
    </w:p>
    <w:p>
      <w:pPr>
        <w:pStyle w:val="Heading1"/>
        <w:pBdr>
          <w:bottom w:val="single" w:color="2563EB" w:sz="8" w:space="4"/>
        </w:pBdr>
        <w:spacing w:after="180" w:before="420"/>
      </w:pPr>
      <w:r>
        <w:rPr>
          <w:b/>
          <w:bCs/>
          <w:color w:val="1E3A5F"/>
        </w:rPr>
        <w:t xml:space="preserve">4. Sub-Category Profitability</w:t>
      </w:r>
    </w:p>
    <w:p>
      <w:pPr>
        <w:spacing w:after="100" w:before="150"/>
        <w:jc w:val="center"/>
      </w:pPr>
      <w:r>
        <w:drawing>
          <wp:inline distT="0" distB="0" distL="0" distR="0">
            <wp:extent cx="5486400" cy="32551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55184"/>
                    </a:xfrm>
                    <a:prstGeom prst="rect">
                      <a:avLst/>
                    </a:prstGeom>
                  </pic:spPr>
                </pic:pic>
              </a:graphicData>
            </a:graphic>
          </wp:inline>
        </w:drawing>
      </w:r>
    </w:p>
    <w:p>
      <w:pPr>
        <w:spacing w:after="260"/>
        <w:jc w:val="center"/>
      </w:pPr>
      <w:r>
        <w:rPr>
          <w:i/>
          <w:iCs/>
          <w:color w:val="6B7280"/>
          <w:sz w:val="18"/>
          <w:szCs w:val="18"/>
        </w:rPr>
        <w:t xml:space="preserve">Figure 3. Profit contribution by sub-category (red indicates a net loss).</w:t>
      </w:r>
    </w:p>
    <w:p>
      <w:pPr>
        <w:spacing w:after="160" w:line="300"/>
      </w:pPr>
      <w:r>
        <w:rPr>
          <w:sz w:val="22"/>
          <w:szCs w:val="22"/>
        </w:rPr>
        <w:t xml:space="preserve">Breaking category performance down further reveals meaningful variation in profitability at the sub-category level. Sub-categories with thin or negative margins are strong candidates for pricing review or targeted discount caps.</w:t>
      </w:r>
    </w:p>
    <w:p>
      <w:pPr>
        <w:pStyle w:val="Heading1"/>
        <w:pBdr>
          <w:bottom w:val="single" w:color="2563EB" w:sz="8" w:space="4"/>
        </w:pBdr>
        <w:spacing w:after="180" w:before="420"/>
      </w:pPr>
      <w:r>
        <w:rPr>
          <w:b/>
          <w:bCs/>
          <w:color w:val="1E3A5F"/>
        </w:rPr>
        <w:t xml:space="preserve">5. Regional Performance</w:t>
      </w:r>
    </w:p>
    <w:p>
      <w:pPr>
        <w:spacing w:after="100" w:before="150"/>
        <w:jc w:val="center"/>
      </w:pPr>
      <w:r>
        <w:drawing>
          <wp:inline distT="0" distB="0" distL="0" distR="0">
            <wp:extent cx="5486400" cy="33131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13129"/>
                    </a:xfrm>
                    <a:prstGeom prst="rect">
                      <a:avLst/>
                    </a:prstGeom>
                  </pic:spPr>
                </pic:pic>
              </a:graphicData>
            </a:graphic>
          </wp:inline>
        </w:drawing>
      </w:r>
    </w:p>
    <w:p>
      <w:pPr>
        <w:spacing w:after="260"/>
        <w:jc w:val="center"/>
      </w:pPr>
      <w:r>
        <w:rPr>
          <w:i/>
          <w:iCs/>
          <w:color w:val="6B7280"/>
          <w:sz w:val="18"/>
          <w:szCs w:val="18"/>
        </w:rPr>
        <w:t xml:space="preserve">Figure 4. Sales versus profit by region.</w:t>
      </w:r>
    </w:p>
    <w:p>
      <w:pPr>
        <w:spacing w:after="160" w:line="300"/>
      </w:pPr>
      <w:r>
        <w:rPr>
          <w:sz w:val="22"/>
          <w:szCs w:val="22"/>
        </w:rPr>
        <w:t xml:space="preserve">The East region leads in total sales. Comparing sales and profit side-by-side highlights regions where high revenue does not proportionally convert to profit — a signal for reviewing regional operating costs, logistics, or discounting practices.</w:t>
      </w:r>
    </w:p>
    <w:p>
      <w:pPr>
        <w:pStyle w:val="Heading1"/>
        <w:pBdr>
          <w:bottom w:val="single" w:color="2563EB" w:sz="8" w:space="4"/>
        </w:pBdr>
        <w:spacing w:after="180" w:before="420"/>
      </w:pPr>
      <w:r>
        <w:rPr>
          <w:b/>
          <w:bCs/>
          <w:color w:val="1E3A5F"/>
        </w:rPr>
        <w:t xml:space="preserve">6. Customer Segment Analysis</w:t>
      </w:r>
    </w:p>
    <w:p>
      <w:pPr>
        <w:spacing w:after="100" w:before="150"/>
        <w:jc w:val="center"/>
      </w:pPr>
      <w:r>
        <w:drawing>
          <wp:inline distT="0" distB="0" distL="0" distR="0">
            <wp:extent cx="5760720" cy="24253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425378"/>
                    </a:xfrm>
                    <a:prstGeom prst="rect">
                      <a:avLst/>
                    </a:prstGeom>
                  </pic:spPr>
                </pic:pic>
              </a:graphicData>
            </a:graphic>
          </wp:inline>
        </w:drawing>
      </w:r>
    </w:p>
    <w:p>
      <w:pPr>
        <w:spacing w:after="260"/>
        <w:jc w:val="center"/>
      </w:pPr>
      <w:r>
        <w:rPr>
          <w:i/>
          <w:iCs/>
          <w:color w:val="6B7280"/>
          <w:sz w:val="18"/>
          <w:szCs w:val="18"/>
        </w:rPr>
        <w:t xml:space="preserve">Figure 5. Share of sales and average order value by customer segment.</w:t>
      </w:r>
    </w:p>
    <w:p>
      <w:pPr>
        <w:spacing w:after="160" w:line="300"/>
      </w:pPr>
      <w:r>
        <w:rPr>
          <w:sz w:val="22"/>
          <w:szCs w:val="22"/>
        </w:rPr>
        <w:t xml:space="preserve">The Consumer segment accounts for the largest share of total sales by order volume. Average order value differs meaningfully across segments, suggesting distinct purchasing behavior that could support segment-specific marketing and account strategies.</w:t>
      </w:r>
    </w:p>
    <w:p>
      <w:pPr>
        <w:pStyle w:val="Heading1"/>
        <w:pBdr>
          <w:bottom w:val="single" w:color="2563EB" w:sz="8" w:space="4"/>
        </w:pBdr>
        <w:spacing w:after="180" w:before="420"/>
      </w:pPr>
      <w:r>
        <w:rPr>
          <w:b/>
          <w:bCs/>
          <w:color w:val="1E3A5F"/>
        </w:rPr>
        <w:t xml:space="preserve">7. Discount vs. Profit Margin</w:t>
      </w:r>
    </w:p>
    <w:p>
      <w:pPr>
        <w:spacing w:after="100" w:before="150"/>
        <w:jc w:val="center"/>
      </w:pPr>
      <w:r>
        <w:drawing>
          <wp:inline distT="0" distB="0" distL="0" distR="0">
            <wp:extent cx="5486400" cy="33131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13129"/>
                    </a:xfrm>
                    <a:prstGeom prst="rect">
                      <a:avLst/>
                    </a:prstGeom>
                  </pic:spPr>
                </pic:pic>
              </a:graphicData>
            </a:graphic>
          </wp:inline>
        </w:drawing>
      </w:r>
    </w:p>
    <w:p>
      <w:pPr>
        <w:spacing w:after="260"/>
        <w:jc w:val="center"/>
      </w:pPr>
      <w:r>
        <w:rPr>
          <w:i/>
          <w:iCs/>
          <w:color w:val="6B7280"/>
          <w:sz w:val="18"/>
          <w:szCs w:val="18"/>
        </w:rPr>
        <w:t xml:space="preserve">Figure 6. Relationship between discount level and resulting profit margin, by category.</w:t>
      </w:r>
    </w:p>
    <w:p>
      <w:pPr>
        <w:spacing w:after="160" w:line="300"/>
      </w:pPr>
      <w:r>
        <w:rPr>
          <w:sz w:val="22"/>
          <w:szCs w:val="22"/>
        </w:rPr>
        <w:t xml:space="preserve">There is a clear negative relationship between discount depth and profit margin. Orders discounted beyond roughly 30% frequently approach or fall below breakeven, particularly within Technology and Furniture. This is one of the strongest and most actionable patterns in the dataset.</w:t>
      </w:r>
    </w:p>
    <w:p>
      <w:pPr>
        <w:pStyle w:val="Heading1"/>
        <w:pBdr>
          <w:bottom w:val="single" w:color="2563EB" w:sz="8" w:space="4"/>
        </w:pBdr>
        <w:spacing w:after="180" w:before="420"/>
      </w:pPr>
      <w:r>
        <w:rPr>
          <w:b/>
          <w:bCs/>
          <w:color w:val="1E3A5F"/>
        </w:rPr>
        <w:t xml:space="preserve">8. Correlation Analysis</w:t>
      </w:r>
    </w:p>
    <w:p>
      <w:pPr>
        <w:spacing w:after="100" w:before="150"/>
        <w:jc w:val="center"/>
      </w:pPr>
      <w:r>
        <w:drawing>
          <wp:inline distT="0" distB="0" distL="0" distR="0">
            <wp:extent cx="4846320" cy="39713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6320" cy="3971358"/>
                    </a:xfrm>
                    <a:prstGeom prst="rect">
                      <a:avLst/>
                    </a:prstGeom>
                  </pic:spPr>
                </pic:pic>
              </a:graphicData>
            </a:graphic>
          </wp:inline>
        </w:drawing>
      </w:r>
    </w:p>
    <w:p>
      <w:pPr>
        <w:spacing w:after="260"/>
        <w:jc w:val="center"/>
      </w:pPr>
      <w:r>
        <w:rPr>
          <w:i/>
          <w:iCs/>
          <w:color w:val="6B7280"/>
          <w:sz w:val="18"/>
          <w:szCs w:val="18"/>
        </w:rPr>
        <w:t xml:space="preserve">Figure 7. Correlation matrix across key numeric metrics.</w:t>
      </w:r>
    </w:p>
    <w:p>
      <w:pPr>
        <w:spacing w:after="160" w:line="300"/>
      </w:pPr>
      <w:r>
        <w:rPr>
          <w:sz w:val="22"/>
          <w:szCs w:val="22"/>
        </w:rPr>
        <w:t xml:space="preserve">Discount shows the strongest negative correlation with profit margin among the tested variables, reinforcing the discounting pattern observed above. Sales and Profit are positively correlated but far from perfectly so — reflecting the margin variability introduced by discounting and category mix.</w:t>
      </w:r>
    </w:p>
    <w:p>
      <w:pPr>
        <w:pStyle w:val="Heading1"/>
        <w:pBdr>
          <w:bottom w:val="single" w:color="2563EB" w:sz="8" w:space="4"/>
        </w:pBdr>
        <w:spacing w:after="180" w:before="420"/>
      </w:pPr>
      <w:r>
        <w:rPr>
          <w:b/>
          <w:bCs/>
          <w:color w:val="1E3A5F"/>
        </w:rPr>
        <w:t xml:space="preserve">9. Predictive Modeling</w:t>
      </w:r>
    </w:p>
    <w:p>
      <w:pPr>
        <w:pStyle w:val="Heading2"/>
        <w:spacing w:after="140" w:before="280"/>
      </w:pPr>
      <w:r>
        <w:rPr>
          <w:b/>
          <w:bCs/>
          <w:color w:val="2563EB"/>
        </w:rPr>
        <w:t xml:space="preserve">9.1 Short-Term Sales Forecast</w:t>
      </w:r>
    </w:p>
    <w:p>
      <w:pPr>
        <w:spacing w:after="100" w:before="150"/>
        <w:jc w:val="center"/>
      </w:pPr>
      <w:r>
        <w:drawing>
          <wp:inline distT="0" distB="0" distL="0" distR="0">
            <wp:extent cx="5760720" cy="28366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836689"/>
                    </a:xfrm>
                    <a:prstGeom prst="rect">
                      <a:avLst/>
                    </a:prstGeom>
                  </pic:spPr>
                </pic:pic>
              </a:graphicData>
            </a:graphic>
          </wp:inline>
        </w:drawing>
      </w:r>
    </w:p>
    <w:p>
      <w:pPr>
        <w:spacing w:after="260"/>
        <w:jc w:val="center"/>
      </w:pPr>
      <w:r>
        <w:rPr>
          <w:i/>
          <w:iCs/>
          <w:color w:val="6B7280"/>
          <w:sz w:val="18"/>
          <w:szCs w:val="18"/>
        </w:rPr>
        <w:t xml:space="preserve">Figure 8. Linear trend forecast of total monthly sales for the next 3 months.</w:t>
      </w:r>
    </w:p>
    <w:p>
      <w:pPr>
        <w:spacing w:after="160" w:line="300"/>
      </w:pPr>
      <w:r>
        <w:rPr>
          <w:sz w:val="22"/>
          <w:szCs w:val="22"/>
        </w:rPr>
        <w:t xml:space="preserve">A linear trend regression projects continued gradual sales growth over the next quarter: ['£310,229', '£315,101', '£319,973']. As a trend-only model, it does not capture seasonal effects (e.g., the November spike) — a seasonal model such as SARIMA or Prophet is recommended for operational forecasting.</w:t>
      </w:r>
    </w:p>
    <w:p>
      <w:pPr>
        <w:pStyle w:val="Heading2"/>
        <w:spacing w:after="140" w:before="280"/>
      </w:pPr>
      <w:r>
        <w:rPr>
          <w:b/>
          <w:bCs/>
          <w:color w:val="2563EB"/>
        </w:rPr>
        <w:t xml:space="preserve">9.2 Profit Prediction Model</w:t>
      </w:r>
    </w:p>
    <w:p>
      <w:pPr>
        <w:spacing w:after="160" w:line="300"/>
      </w:pPr>
      <w:r>
        <w:rPr>
          <w:sz w:val="22"/>
          <w:szCs w:val="22"/>
        </w:rPr>
        <w:t xml:space="preserve">A Random Forest Regressor was trained to predict order-level profit from operational attributes (quantity, unit price, discount, category, region, segment, and shipping mode). The model was evaluated on a held-out 20% test set: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pct" w:w="50%"/>
            <w:shd w:fill="1E3A5F" w:val="clear"/>
          </w:tcPr>
          <w:p>
            <w:pPr>
              <w:jc w:val="center"/>
            </w:pPr>
            <w:r>
              <w:rPr>
                <w:b/>
                <w:bCs/>
                <w:color w:val="FFFFFF"/>
                <w:sz w:val="22"/>
                <w:szCs w:val="22"/>
              </w:rPr>
              <w:t xml:space="preserve">Metric</w:t>
            </w:r>
          </w:p>
        </w:tc>
        <w:tc>
          <w:tcPr>
            <w:tcW w:type="pct" w:w="50%"/>
            <w:shd w:fill="1E3A5F" w:val="clear"/>
          </w:tcPr>
          <w:p>
            <w:pPr>
              <w:jc w:val="center"/>
            </w:pPr>
            <w:r>
              <w:rPr>
                <w:b/>
                <w:bCs/>
                <w:color w:val="FFFFFF"/>
                <w:sz w:val="22"/>
                <w:szCs w:val="22"/>
              </w:rPr>
              <w:t xml:space="preserve">Value</w:t>
            </w:r>
          </w:p>
        </w:tc>
      </w:tr>
      <w:tr>
        <w:tc>
          <w:tcPr>
            <w:shd w:fill="F3F4F6" w:val="clear"/>
          </w:tcPr>
          <w:p>
            <w:pPr>
              <w:jc w:val="center"/>
            </w:pPr>
            <w:r>
              <w:rPr>
                <w:sz w:val="22"/>
                <w:szCs w:val="22"/>
              </w:rPr>
              <w:t xml:space="preserve">Mean Absolute Error (MAE)</w:t>
            </w:r>
          </w:p>
        </w:tc>
        <w:tc>
          <w:p>
            <w:pPr>
              <w:jc w:val="center"/>
            </w:pPr>
            <w:r>
              <w:rPr>
                <w:sz w:val="22"/>
                <w:szCs w:val="22"/>
              </w:rPr>
              <w:t xml:space="preserve">£80.41</w:t>
            </w:r>
          </w:p>
        </w:tc>
      </w:tr>
      <w:tr>
        <w:tc>
          <w:tcPr>
            <w:shd w:fill="F3F4F6" w:val="clear"/>
          </w:tcPr>
          <w:p>
            <w:pPr>
              <w:jc w:val="center"/>
            </w:pPr>
            <w:r>
              <w:rPr>
                <w:sz w:val="22"/>
                <w:szCs w:val="22"/>
              </w:rPr>
              <w:t xml:space="preserve">R² Score</w:t>
            </w:r>
          </w:p>
        </w:tc>
        <w:tc>
          <w:p>
            <w:pPr>
              <w:jc w:val="center"/>
            </w:pPr>
            <w:r>
              <w:rPr>
                <w:sz w:val="22"/>
                <w:szCs w:val="22"/>
              </w:rPr>
              <w:t xml:space="preserve">0.317</w:t>
            </w:r>
          </w:p>
        </w:tc>
      </w:tr>
    </w:tbl>
    <w:p>
      <w:pPr>
        <w:spacing w:after="200"/>
      </w:pPr>
    </w:p>
    <w:p>
      <w:pPr>
        <w:spacing w:after="100" w:before="150"/>
        <w:jc w:val="center"/>
      </w:pPr>
      <w:r>
        <w:drawing>
          <wp:inline distT="0" distB="0" distL="0" distR="0">
            <wp:extent cx="4754880" cy="44070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4880" cy="4407083"/>
                    </a:xfrm>
                    <a:prstGeom prst="rect">
                      <a:avLst/>
                    </a:prstGeom>
                  </pic:spPr>
                </pic:pic>
              </a:graphicData>
            </a:graphic>
          </wp:inline>
        </w:drawing>
      </w:r>
    </w:p>
    <w:p>
      <w:pPr>
        <w:spacing w:after="260"/>
        <w:jc w:val="center"/>
      </w:pPr>
      <w:r>
        <w:rPr>
          <w:i/>
          <w:iCs/>
          <w:color w:val="6B7280"/>
          <w:sz w:val="18"/>
          <w:szCs w:val="18"/>
        </w:rPr>
        <w:t xml:space="preserve">Figure 9. Actual vs. predicted profit on the test set.</w:t>
      </w:r>
    </w:p>
    <w:p>
      <w:pPr>
        <w:spacing w:after="100" w:before="150"/>
        <w:jc w:val="center"/>
      </w:pPr>
      <w:r>
        <w:drawing>
          <wp:inline distT="0" distB="0" distL="0" distR="0">
            <wp:extent cx="5486400" cy="30026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02662"/>
                    </a:xfrm>
                    <a:prstGeom prst="rect">
                      <a:avLst/>
                    </a:prstGeom>
                  </pic:spPr>
                </pic:pic>
              </a:graphicData>
            </a:graphic>
          </wp:inline>
        </w:drawing>
      </w:r>
    </w:p>
    <w:p>
      <w:pPr>
        <w:spacing w:after="260"/>
        <w:jc w:val="center"/>
      </w:pPr>
      <w:r>
        <w:rPr>
          <w:i/>
          <w:iCs/>
          <w:color w:val="6B7280"/>
          <w:sz w:val="18"/>
          <w:szCs w:val="18"/>
        </w:rPr>
        <w:t xml:space="preserve">Figure 10. Relative feature importance for predicting order profit.</w:t>
      </w:r>
    </w:p>
    <w:p>
      <w:pPr>
        <w:spacing w:after="160" w:line="300"/>
      </w:pPr>
      <w:r>
        <w:rPr>
          <w:sz w:val="22"/>
          <w:szCs w:val="22"/>
        </w:rPr>
        <w:t xml:space="preserve">Discount and Unit Price emerge as the dominant predictors of order-level profit, quantitatively confirming the discount-erosion pattern identified in the exploratory analysis. Category and Region contribute secondary explanatory power.</w:t>
      </w:r>
    </w:p>
    <w:p>
      <w:pPr>
        <w:pStyle w:val="Heading1"/>
        <w:pBdr>
          <w:bottom w:val="single" w:color="2563EB" w:sz="8" w:space="4"/>
        </w:pBdr>
        <w:spacing w:after="180" w:before="420"/>
      </w:pPr>
      <w:r>
        <w:rPr>
          <w:b/>
          <w:bCs/>
          <w:color w:val="1E3A5F"/>
        </w:rPr>
        <w:t xml:space="preserve">10. Key Findings</w:t>
      </w:r>
    </w:p>
    <w:p>
      <w:pPr>
        <w:pStyle w:val="ListParagraph"/>
        <w:numPr>
          <w:ilvl w:val="0"/>
          <w:numId w:val="3"/>
        </w:numPr>
        <w:spacing w:after="90"/>
      </w:pPr>
      <w:r>
        <w:rPr>
          <w:sz w:val="22"/>
          <w:szCs w:val="22"/>
        </w:rPr>
        <w:t xml:space="preserve">Strong, repeatable seasonality — sales and profit peak sharply every November.</w:t>
      </w:r>
    </w:p>
    <w:p>
      <w:pPr>
        <w:pStyle w:val="ListParagraph"/>
        <w:numPr>
          <w:ilvl w:val="0"/>
          <w:numId w:val="3"/>
        </w:numPr>
        <w:spacing w:after="90"/>
      </w:pPr>
      <w:r>
        <w:rPr>
          <w:sz w:val="22"/>
          <w:szCs w:val="22"/>
        </w:rPr>
        <w:t xml:space="preserve">Technology leads in revenue, while margin efficiency varies meaningfully by sub-category.</w:t>
      </w:r>
    </w:p>
    <w:p>
      <w:pPr>
        <w:pStyle w:val="ListParagraph"/>
        <w:numPr>
          <w:ilvl w:val="0"/>
          <w:numId w:val="3"/>
        </w:numPr>
        <w:spacing w:after="90"/>
      </w:pPr>
      <w:r>
        <w:rPr>
          <w:sz w:val="22"/>
          <w:szCs w:val="22"/>
        </w:rPr>
        <w:t xml:space="preserve">Discounting beyond ~30% materially erodes profitability, confirmed both visually and by the predictive model's feature importance ranking.</w:t>
      </w:r>
    </w:p>
    <w:p>
      <w:pPr>
        <w:pStyle w:val="ListParagraph"/>
        <w:numPr>
          <w:ilvl w:val="0"/>
          <w:numId w:val="3"/>
        </w:numPr>
        <w:spacing w:after="90"/>
      </w:pPr>
      <w:r>
        <w:rPr>
          <w:sz w:val="22"/>
          <w:szCs w:val="22"/>
        </w:rPr>
        <w:t xml:space="preserve">East leads regional sales, but regional profit efficiency is uneven and merits a cost review.</w:t>
      </w:r>
    </w:p>
    <w:p>
      <w:pPr>
        <w:pStyle w:val="ListParagraph"/>
        <w:numPr>
          <w:ilvl w:val="0"/>
          <w:numId w:val="3"/>
        </w:numPr>
        <w:spacing w:after="90"/>
      </w:pPr>
      <w:r>
        <w:rPr>
          <w:sz w:val="22"/>
          <w:szCs w:val="22"/>
        </w:rPr>
        <w:t xml:space="preserve">Consumer drives the largest share of revenue by volume, with distinct average order values across segments.</w:t>
      </w:r>
    </w:p>
    <w:p>
      <w:pPr>
        <w:pStyle w:val="ListParagraph"/>
        <w:numPr>
          <w:ilvl w:val="0"/>
          <w:numId w:val="3"/>
        </w:numPr>
        <w:spacing w:after="90"/>
      </w:pPr>
      <w:r>
        <w:rPr>
          <w:sz w:val="22"/>
          <w:szCs w:val="22"/>
        </w:rPr>
        <w:t xml:space="preserve">The Random Forest profit model achieves an R² of 0.317 with an MAE of £80.41, providing a usable baseline for profit estimation at the point of sale.</w:t>
      </w:r>
    </w:p>
    <w:p>
      <w:pPr>
        <w:pStyle w:val="Heading1"/>
        <w:pBdr>
          <w:bottom w:val="single" w:color="2563EB" w:sz="8" w:space="4"/>
        </w:pBdr>
        <w:spacing w:after="180" w:before="420"/>
      </w:pPr>
      <w:r>
        <w:rPr>
          <w:b/>
          <w:bCs/>
          <w:color w:val="1E3A5F"/>
        </w:rPr>
        <w:t xml:space="preserve">11. Business Recommendations</w:t>
      </w:r>
    </w:p>
    <w:p>
      <w:pPr>
        <w:pStyle w:val="ListParagraph"/>
        <w:numPr>
          <w:ilvl w:val="0"/>
          <w:numId w:val="4"/>
        </w:numPr>
        <w:spacing w:after="90"/>
      </w:pPr>
      <w:r>
        <w:rPr>
          <w:sz w:val="22"/>
          <w:szCs w:val="22"/>
        </w:rPr>
        <w:t xml:space="preserve">Cap promotional discounts at approximately 20–25% on Technology and Furniture to protect margin.</w:t>
      </w:r>
    </w:p>
    <w:p>
      <w:pPr>
        <w:pStyle w:val="ListParagraph"/>
        <w:numPr>
          <w:ilvl w:val="0"/>
          <w:numId w:val="4"/>
        </w:numPr>
        <w:spacing w:after="90"/>
      </w:pPr>
      <w:r>
        <w:rPr>
          <w:sz w:val="22"/>
          <w:szCs w:val="22"/>
        </w:rPr>
        <w:t xml:space="preserve">Prioritize marketing investment in Office Supplies, which shows the strongest margin efficiency.</w:t>
      </w:r>
    </w:p>
    <w:p>
      <w:pPr>
        <w:pStyle w:val="ListParagraph"/>
        <w:numPr>
          <w:ilvl w:val="0"/>
          <w:numId w:val="4"/>
        </w:numPr>
        <w:spacing w:after="90"/>
      </w:pPr>
      <w:r>
        <w:rPr>
          <w:sz w:val="22"/>
          <w:szCs w:val="22"/>
        </w:rPr>
        <w:t xml:space="preserve">Build inventory and staffing plans ahead of the November demand peak identified in the trend analysis.</w:t>
      </w:r>
    </w:p>
    <w:p>
      <w:pPr>
        <w:pStyle w:val="ListParagraph"/>
        <w:numPr>
          <w:ilvl w:val="0"/>
          <w:numId w:val="4"/>
        </w:numPr>
        <w:spacing w:after="90"/>
      </w:pPr>
      <w:r>
        <w:rPr>
          <w:sz w:val="22"/>
          <w:szCs w:val="22"/>
        </w:rPr>
        <w:t xml:space="preserve">Conduct a regional cost review to close the profit gap between high-revenue and high-margin regions.</w:t>
      </w:r>
    </w:p>
    <w:p>
      <w:pPr>
        <w:pStyle w:val="ListParagraph"/>
        <w:numPr>
          <w:ilvl w:val="0"/>
          <w:numId w:val="4"/>
        </w:numPr>
        <w:spacing w:after="90"/>
      </w:pPr>
      <w:r>
        <w:rPr>
          <w:sz w:val="22"/>
          <w:szCs w:val="22"/>
        </w:rPr>
        <w:t xml:space="preserve">Adopt a seasonal forecasting model (SARIMA/Prophet) for operational planning beyond this baseline linear trend.</w:t>
      </w:r>
    </w:p>
    <w:p>
      <w:pPr>
        <w:pStyle w:val="ListParagraph"/>
        <w:numPr>
          <w:ilvl w:val="0"/>
          <w:numId w:val="4"/>
        </w:numPr>
        <w:spacing w:after="90"/>
      </w:pPr>
      <w:r>
        <w:rPr>
          <w:sz w:val="22"/>
          <w:szCs w:val="22"/>
        </w:rPr>
        <w:t xml:space="preserve">Integrate the profit prediction model into order-entry workflows to flag low-profit orders before confirmation.</w:t>
      </w:r>
    </w:p>
    <w:p>
      <w:pPr>
        <w:pStyle w:val="Heading1"/>
        <w:pBdr>
          <w:bottom w:val="single" w:color="2563EB" w:sz="8" w:space="4"/>
        </w:pBdr>
        <w:spacing w:after="180" w:before="420"/>
      </w:pPr>
      <w:r>
        <w:rPr>
          <w:b/>
          <w:bCs/>
          <w:color w:val="1E3A5F"/>
        </w:rPr>
        <w:t xml:space="preserve">12. Conclusion</w:t>
      </w:r>
    </w:p>
    <w:p>
      <w:pPr>
        <w:spacing w:after="160" w:line="300"/>
      </w:pPr>
      <w:r>
        <w:rPr>
          <w:sz w:val="22"/>
          <w:szCs w:val="22"/>
        </w:rPr>
        <w:t xml:space="preserve">This end-to-end analysis demonstrates how applied data science techniques — from exploratory analysis to machine learning-based prediction — can convert raw retail transaction data into concrete, actionable business strategy. The combination of clear seasonal patterns, a quantified discount-profitability relationship, and a working profit prediction model provides a solid foundation for data-driven decision-making across pricing, inventory, and regional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6"/>
        <w:szCs w:val="16"/>
      </w:rPr>
      <w:t xml:space="preserve">Retail Sales Analysis — Real-World Data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76950ee4f8f59cbe059a6eb71c8d77b11ef1f7.png"/><Relationship Id="rId10" Type="http://schemas.openxmlformats.org/officeDocument/2006/relationships/image" Target="media/876bf9db1521095ebece4d1f38f15ae17ffad92c.png"/><Relationship Id="rId11" Type="http://schemas.openxmlformats.org/officeDocument/2006/relationships/image" Target="media/a7146f32f6a2491e9e91ea0059a8537d4a024e68.png"/><Relationship Id="rId12" Type="http://schemas.openxmlformats.org/officeDocument/2006/relationships/image" Target="media/894d1fe0890cc396e3e22a9758cc570e151c6586.png"/><Relationship Id="rId13" Type="http://schemas.openxmlformats.org/officeDocument/2006/relationships/image" Target="media/9e46b24f90256cebe9ec63353eef311acf3b0cac.png"/><Relationship Id="rId14" Type="http://schemas.openxmlformats.org/officeDocument/2006/relationships/image" Target="media/43972465822d771846a83b858c9fb92193068d2d.png"/><Relationship Id="rId15" Type="http://schemas.openxmlformats.org/officeDocument/2006/relationships/image" Target="media/4753523a3b16ec844c03b9da81d15dee5c2ce62c.png"/><Relationship Id="rId16" Type="http://schemas.openxmlformats.org/officeDocument/2006/relationships/image" Target="media/a0fc8169117a9a88ab3d073c36486c684a5349b4.png"/><Relationship Id="rId17" Type="http://schemas.openxmlformats.org/officeDocument/2006/relationships/image" Target="media/24905ccfb04a60faab6cd264301a0652b8151687.png"/><Relationship Id="rId18" Type="http://schemas.openxmlformats.org/officeDocument/2006/relationships/image" Target="media/31f0c4bb2caf0bbf512f5ab75c561a9a42a67fa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2026-09-24T09:03:30.075Z</dcterms:created>
  <dcterms:modified xsi:type="dcterms:W3CDTF">2026-09-24T09:03:30.075Z</dcterms:modified>
</cp:coreProperties>
</file>

<file path=docProps/custom.xml><?xml version="1.0" encoding="utf-8"?>
<Properties xmlns="http://schemas.openxmlformats.org/officeDocument/2006/custom-properties" xmlns:vt="http://schemas.openxmlformats.org/officeDocument/2006/docPropsVTypes"/>
</file>