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AF80" w14:textId="77777777" w:rsidR="000B72D3" w:rsidRPr="000B72D3" w:rsidRDefault="000B72D3" w:rsidP="000B7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72D3">
        <w:rPr>
          <w:rFonts w:ascii="Times New Roman" w:hAnsi="Times New Roman" w:cs="Times New Roman"/>
          <w:b/>
          <w:bCs/>
          <w:sz w:val="24"/>
          <w:szCs w:val="24"/>
        </w:rPr>
        <w:t>Highlights</w:t>
      </w:r>
    </w:p>
    <w:p w14:paraId="346DA83A" w14:textId="77777777" w:rsidR="000B72D3" w:rsidRPr="000B72D3" w:rsidRDefault="000B72D3" w:rsidP="000B72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72D3">
        <w:rPr>
          <w:rFonts w:ascii="Times New Roman" w:hAnsi="Times New Roman" w:cs="Times New Roman"/>
          <w:sz w:val="24"/>
          <w:szCs w:val="24"/>
        </w:rPr>
        <w:t xml:space="preserve">Spatial variation (12.53×) far exceeds distribution-choice spread (1.56×) at 100 years. </w:t>
      </w:r>
    </w:p>
    <w:p w14:paraId="6DDB9408" w14:textId="77777777" w:rsidR="000B72D3" w:rsidRPr="000B72D3" w:rsidRDefault="000B72D3" w:rsidP="000B72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72D3">
        <w:rPr>
          <w:rFonts w:ascii="Times New Roman" w:hAnsi="Times New Roman" w:cs="Times New Roman"/>
          <w:sz w:val="24"/>
          <w:szCs w:val="24"/>
        </w:rPr>
        <w:t xml:space="preserve">Occurrence–intensity structure weakens toward the tail (rₛ=0.73 to 0.48). </w:t>
      </w:r>
    </w:p>
    <w:p w14:paraId="1BCAE461" w14:textId="77777777" w:rsidR="000B72D3" w:rsidRPr="000B72D3" w:rsidRDefault="000B72D3" w:rsidP="000B72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72D3">
        <w:rPr>
          <w:rFonts w:ascii="Times New Roman" w:hAnsi="Times New Roman" w:cs="Times New Roman"/>
          <w:sz w:val="24"/>
          <w:szCs w:val="24"/>
        </w:rPr>
        <w:t xml:space="preserve">Provincial mean causes site errors from −65% to +335%. </w:t>
      </w:r>
    </w:p>
    <w:p w14:paraId="51A81F40" w14:textId="77777777" w:rsidR="000B72D3" w:rsidRPr="000B72D3" w:rsidRDefault="000B72D3" w:rsidP="000B72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72D3">
        <w:rPr>
          <w:rFonts w:ascii="Times New Roman" w:hAnsi="Times New Roman" w:cs="Times New Roman"/>
          <w:sz w:val="24"/>
          <w:szCs w:val="24"/>
        </w:rPr>
        <w:t xml:space="preserve">Model-reselection uncertainty varies widely among gauges (ratio 0.71–10.25). </w:t>
      </w:r>
    </w:p>
    <w:p w14:paraId="777AEA00" w14:textId="3D87DBB8" w:rsidR="00BB1DC2" w:rsidRPr="000B72D3" w:rsidRDefault="000B72D3" w:rsidP="000B72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72D3">
        <w:rPr>
          <w:rFonts w:ascii="Times New Roman" w:hAnsi="Times New Roman" w:cs="Times New Roman"/>
          <w:sz w:val="24"/>
          <w:szCs w:val="24"/>
        </w:rPr>
        <w:t>100-year uncertainty reached 146%–218% with a 34-year record.</w:t>
      </w:r>
    </w:p>
    <w:sectPr w:rsidR="00BB1DC2" w:rsidRPr="000B72D3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33E"/>
    <w:multiLevelType w:val="multilevel"/>
    <w:tmpl w:val="0B3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F1BC5"/>
    <w:multiLevelType w:val="multilevel"/>
    <w:tmpl w:val="0B7E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5C041C"/>
    <w:multiLevelType w:val="multilevel"/>
    <w:tmpl w:val="CFB8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93772"/>
    <w:multiLevelType w:val="multilevel"/>
    <w:tmpl w:val="C27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20574"/>
    <w:multiLevelType w:val="multilevel"/>
    <w:tmpl w:val="EB9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7110404">
    <w:abstractNumId w:val="2"/>
  </w:num>
  <w:num w:numId="2" w16cid:durableId="1336222671">
    <w:abstractNumId w:val="1"/>
  </w:num>
  <w:num w:numId="3" w16cid:durableId="2047683094">
    <w:abstractNumId w:val="4"/>
  </w:num>
  <w:num w:numId="4" w16cid:durableId="214390867">
    <w:abstractNumId w:val="3"/>
  </w:num>
  <w:num w:numId="5" w16cid:durableId="143779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D3"/>
    <w:rsid w:val="000B72D3"/>
    <w:rsid w:val="000E4004"/>
    <w:rsid w:val="0023389B"/>
    <w:rsid w:val="00444491"/>
    <w:rsid w:val="00BB1DC2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A0DD"/>
  <w15:chartTrackingRefBased/>
  <w15:docId w15:val="{522D604A-F615-4CEB-8A4F-5E735EDF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2D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2D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2D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B72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B72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B72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B72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B72D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B7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B72D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B7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B7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2D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B72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B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B72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B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B72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2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2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B72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2026-09-07T05:45:00Z</dcterms:created>
  <dcterms:modified xsi:type="dcterms:W3CDTF">2026-09-07T05:52:00Z</dcterms:modified>
</cp:coreProperties>
</file>