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Supplementary Information</w:t>
        <w:br/>
      </w:r>
      <w:r>
        <w:rPr>
          <w:sz w:val="22"/>
        </w:rPr>
        <w:t>Seasonal and Extreme Rainfall Variability in Prachuap Khiri Khan and Its Relationship with ENSO: Evaluating Signal Preservation in Quantile Delta Mapping</w:t>
      </w:r>
    </w:p>
    <w:p>
      <w:r>
        <w:t>Table S1. Complete 12-station monthly precipitation quality control diagnostics and zero-run classifications (1981–2014).</w:t>
        <w:br/>
      </w:r>
      <w:r>
        <w:t>Table S2. GCM grid cell coordinates, model resolution, and spatial mapping signatures relative to station network.</w:t>
        <w:br/>
      </w:r>
      <w:r>
        <w:t>Table S3. Full 32-target QDM signal preservation classification metrics and error reduction scores.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