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eastAsia="TH Sarabun New"/>
          <w:b/>
          <w:sz w:val="36"/>
        </w:rPr>
        <w:t>คำชี้แจงการแก้ไขต้นฉบับตามข้อเสนอแนะของผู้ทรงคุณวุฒิ</w:t>
      </w:r>
    </w:p>
    <w:p>
      <w:pPr>
        <w:jc w:val="center"/>
      </w:pPr>
      <w:r>
        <w:rPr>
          <w:rFonts w:ascii="TH Sarabun New" w:hAnsi="TH Sarabun New" w:eastAsia="TH Sarabun New"/>
          <w:b w:val="0"/>
          <w:sz w:val="28"/>
        </w:rPr>
        <w:t>ต้นฉบับ ID1558: Evaluation of Quantile Delta Mapping for Bias Correction of CMIP6 Daily Rainfall Using Independent Temporal Holdout in Prachuap Khiri Khan Province</w:t>
      </w:r>
    </w:p>
    <w:p>
      <w:r>
        <w:rPr>
          <w:rFonts w:ascii="TH Sarabun New" w:hAnsi="TH Sarabun New" w:eastAsia="TH Sarabun New"/>
          <w:b w:val="0"/>
          <w:sz w:val="28"/>
        </w:rPr>
      </w:r>
    </w:p>
    <w:p>
      <w:r>
        <w:rPr>
          <w:rFonts w:ascii="TH Sarabun New" w:hAnsi="TH Sarabun New" w:eastAsia="TH Sarabun New"/>
          <w:b/>
          <w:sz w:val="28"/>
        </w:rPr>
        <w:t>เรียน บรรณาธิการและผู้ทรงคุณวุฒิ</w:t>
      </w:r>
    </w:p>
    <w:p>
      <w:r>
        <w:rPr>
          <w:rFonts w:ascii="TH Sarabun New" w:hAnsi="TH Sarabun New" w:eastAsia="TH Sarabun New"/>
          <w:b w:val="0"/>
          <w:sz w:val="28"/>
        </w:rPr>
        <w:t>คณะผู้วิจัยขอขอบพระคุณบรรณาธิการและผู้ทรงคุณวุฒิสำหรับข้อเสนอแนะที่เป็นประโยชน์ต่อการปรับปรุงต้นฉบับอย่างยิ่ง ข้อเสนอแนะดังกล่าวช่วยให้คณะผู้วิจัยทบทวนกรอบการประเมิน วิธีวิเคราะห์ การตีความผล และความถูกต้องของเอกสารอ้างอิงอย่างรอบคอบมากขึ้น ต้นฉบับฉบับแก้ไขได้ปรับจากการประเมินในช่วงข้อมูลเดียวกันไปสู่การตรวจสอบด้วยช่วงเวลาอิสระ โดยประมาณฟังก์ชัน QDM จากช่วง ค.ศ. 1981-2000 และประเมินผลกับช่วง ค.ศ. 2001-2014 ที่กันไว้โดยไม่ใช้ข้อมูลตรวจวัดในช่วงดังกล่าวเพื่อปรับเทียบใหม่</w:t>
      </w:r>
    </w:p>
    <w:p>
      <w:r>
        <w:rPr>
          <w:rFonts w:ascii="TH Sarabun New" w:hAnsi="TH Sarabun New" w:eastAsia="TH Sarabun New"/>
          <w:b w:val="0"/>
          <w:sz w:val="28"/>
        </w:rPr>
        <w:t>การตอบรายข้อต่อไปนี้เรียบเรียงโดยยึดข้อเท็จจริงจากต้นฉบับฉบับแก้ไขล่าสุด และระบุหัวข้อหรือส่วนของบทความที่เกี่ยวข้องเพื่อให้ตรวจสอบได้โดยตรง</w:t>
      </w:r>
    </w:p>
    <w:p>
      <w:pPr>
        <w:pStyle w:val="Heading1"/>
      </w:pPr>
      <w:r>
        <w:rPr>
          <w:rFonts w:ascii="TH Sarabun New" w:hAnsi="TH Sarabun New" w:eastAsia="TH Sarabun New"/>
          <w:b w:val="0"/>
          <w:sz w:val="28"/>
        </w:rPr>
        <w:t>สรุปการแก้ไขหลัก</w:t>
      </w:r>
    </w:p>
    <w:p>
      <w:pPr>
        <w:pStyle w:val="ListBullet"/>
      </w:pPr>
      <w:r>
        <w:t>ปรับชื่อเรื่องและกรอบการศึกษาให้สะท้อน independent temporal holdout แทนการประเมินจากข้อมูลเต็มช่วง</w:t>
      </w:r>
    </w:p>
    <w:p>
      <w:pPr>
        <w:pStyle w:val="ListBullet"/>
      </w:pPr>
      <w:r>
        <w:t>แก้ปัญหา data leakage โดยแยกช่วงประมาณฟังก์ชัน QDM ออกจากช่วงประเมินผลอย่างชัดเจน</w:t>
      </w:r>
    </w:p>
    <w:p>
      <w:pPr>
        <w:pStyle w:val="ListBullet"/>
      </w:pPr>
      <w:r>
        <w:t>เปลี่ยนการวิเคราะห์หลักเป็นระดับคู่สถานี-แบบจำลอง 60 คู่ และใช้ MME รายเดือนเป็นการวิเคราะห์รอง</w:t>
      </w:r>
    </w:p>
    <w:p>
      <w:pPr>
        <w:pStyle w:val="ListBullet"/>
      </w:pPr>
      <w:r>
        <w:t>เพิ่มตัวชี้วัดด้าน distributional fidelity, heavy rainfall, time-paired error และ temporal correspondence</w:t>
      </w:r>
    </w:p>
    <w:p>
      <w:pPr>
        <w:pStyle w:val="ListBullet"/>
      </w:pPr>
      <w:r>
        <w:t>เพิ่ม year-block bootstrap 2,000 ซ้ำและควบคุม false discovery rate ด้วย Benjamini-Yekutieli เพื่อรองรับการพึ่งพาเชิงพื้นที่ของคู่ประเมิน</w:t>
      </w:r>
    </w:p>
    <w:p>
      <w:pPr>
        <w:pStyle w:val="ListBullet"/>
      </w:pPr>
      <w:r>
        <w:t>เพิ่มการแยกองค์ประกอบ MSE เพื่ออธิบายกลไกของการเปลี่ยนแปลง RMSE โดยไม่ตีความว่า QDM สร้างความสอดคล้องเชิงเวลาที่ไม่มีในแบบจำลองเดิม</w:t>
      </w:r>
    </w:p>
    <w:p>
      <w:pPr>
        <w:pStyle w:val="ListBullet"/>
      </w:pPr>
      <w:r>
        <w:t>ตรวจและแก้ไขรายการอ้างอิงที่ไม่สอดคล้องกับ DOI เดิม และตัดรายการที่ตรวจสอบไม่ได้ออก</w:t>
      </w:r>
    </w:p>
    <w:p>
      <w:pPr>
        <w:pStyle w:val="Heading1"/>
      </w:pPr>
      <w:r>
        <w:rPr>
          <w:rFonts w:ascii="TH Sarabun New" w:hAnsi="TH Sarabun New" w:eastAsia="TH Sarabun New"/>
          <w:b w:val="0"/>
          <w:sz w:val="28"/>
        </w:rPr>
        <w:t>คำชี้แจงรายข้อ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900"/>
            <w:shd w:fill="D9EAF7"/>
            <w:noWrap/>
            <w:vAlign w:val="top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2"/>
              </w:rPr>
              <w:t>ข้อ</w:t>
            </w:r>
          </w:p>
        </w:tc>
        <w:tc>
          <w:tcPr>
            <w:tcW w:type="dxa" w:w="2200"/>
            <w:shd w:fill="D9EAF7"/>
            <w:vAlign w:val="top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2"/>
              </w:rPr>
              <w:t>ประเด็นผู้ทรงคุณวุฒิ</w:t>
            </w:r>
          </w:p>
        </w:tc>
        <w:tc>
          <w:tcPr>
            <w:tcW w:type="dxa" w:w="2750"/>
            <w:shd w:fill="D9EAF7"/>
            <w:vAlign w:val="top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2"/>
              </w:rPr>
              <w:t>การแก้ไขในบทความฉบับใหม่</w:t>
            </w:r>
          </w:p>
        </w:tc>
        <w:tc>
          <w:tcPr>
            <w:tcW w:type="dxa" w:w="1450"/>
            <w:shd w:fill="D9EAF7"/>
            <w:vAlign w:val="top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2"/>
              </w:rPr>
              <w:t>ตำแหน่งในบทความ</w:t>
            </w:r>
          </w:p>
        </w:tc>
        <w:tc>
          <w:tcPr>
            <w:tcW w:type="dxa" w:w="3150"/>
            <w:shd w:fill="D9EAF7"/>
            <w:vAlign w:val="top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2"/>
              </w:rPr>
              <w:t>คำชี้แจงที่เสนอ</w:t>
            </w:r>
          </w:p>
        </w:tc>
      </w:tr>
      <w:tr>
        <w:tc>
          <w:tcPr>
            <w:tcW w:type="dxa" w:w="900"/>
            <w:noWrap/>
            <w:vAlign w:val="top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1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ชื่อเรื่องควรสะท้อนว่าฉบับเดิมเน้น unweighted multi-model ensemble ในช่วง historical และควรระบุ validation design ที่ใช้จริง</w:t>
            </w:r>
          </w:p>
        </w:tc>
        <w:tc>
          <w:tcPr>
            <w:tcW w:type="dxa" w:w="27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ปรับชื่อเรื่องเป็นการประเมิน QDM ด้วย independent temporal holdout และปรับโครงสร้างการวิเคราะห์ให้ผลหลักอยู่ที่คู่สถานี-แบบจำลอง 60 คู่ ส่วน MME เป็นการวิเคราะห์รองที่คำนวณระดับรายเดือนเท่านั้น</w:t>
            </w:r>
          </w:p>
        </w:tc>
        <w:tc>
          <w:tcPr>
            <w:tcW w:type="dxa" w:w="14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ชื่อเรื่อง; 2.3; 2.6; Results; 3.6</w:t>
            </w:r>
          </w:p>
        </w:tc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คณะผู้วิจัยเห็นด้วยและได้ปรับชื่อเรื่องรวมทั้งกรอบการนำเสนอใหม่ เพื่อให้สะท้อนวัตถุประสงค์และการออกแบบการตรวจสอบจริงของงานวิจัย ฉบับแก้ไขไม่ได้ใช้ MME เป็นหน่วยหลักของข้อสรุปอีกต่อไป แต่รายงานผลรายแบบจำลองและรายคู่สถานี-แบบจำลองก่อน แล้วจึงนำเสนอ MME เป็นผลรองเพื่อประกอบการตีความ</w:t>
            </w:r>
          </w:p>
        </w:tc>
      </w:tr>
      <w:tr>
        <w:tc>
          <w:tcPr>
            <w:tcW w:type="dxa" w:w="900"/>
            <w:noWrap/>
            <w:vAlign w:val="top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2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ตัวเลขในบทคัดย่อเดิมไม่สอดคล้องกับตารางและบทคัดย่อภาษาอังกฤษ</w:t>
            </w:r>
          </w:p>
        </w:tc>
        <w:tc>
          <w:tcPr>
            <w:tcW w:type="dxa" w:w="27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เขียนบทคัดย่อไทยและอังกฤษใหม่ โดยรายงานค่าจากช่วงตรวจสอบอิสระและใช้ตัวเลขชุดเดียวกับตารางผล เช่น KS, PSS, RMSE, NSE และจำนวนคู่ที่ดีขึ้นหรือแย่ลง</w:t>
            </w:r>
          </w:p>
        </w:tc>
        <w:tc>
          <w:tcPr>
            <w:tcW w:type="dxa" w:w="14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บทคัดย่อ; Abstract; 3.2; 3.3; ตารางที่ 3-4</w:t>
            </w:r>
          </w:p>
        </w:tc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คณะผู้วิจัยขอขอบพระคุณที่ชี้ข้อคลาดเคลื่อนดังกล่าว และได้ตรวจสอบตัวเลขทั้งหมดใหม่ให้ตรงกับผลวิเคราะห์ฉบับแก้ไข โดยตัดค่าที่ไม่สอดคล้องจากฉบับเดิมออกและแทนด้วยผลจากช่วง ค.ศ. 2001-2014 ซึ่งเป็นช่วงตรวจสอบอิสระ</w:t>
            </w:r>
          </w:p>
        </w:tc>
      </w:tr>
      <w:tr>
        <w:tc>
          <w:tcPr>
            <w:tcW w:type="dxa" w:w="900"/>
            <w:noWrap/>
            <w:vAlign w:val="top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3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ข้อสรุปเดิมเกินหลักฐาน เพราะใช้ข้อมูลช่วงเดียวกันในการปรับและประเมิน และไม่มี out-of-sample validation หรือการประเมิน extreme/hydrological performance</w:t>
            </w:r>
          </w:p>
        </w:tc>
        <w:tc>
          <w:tcPr>
            <w:tcW w:type="dxa" w:w="27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ออกแบบการวิเคราะห์ใหม่โดยแยก calibration period กับ holdout period และเพิ่มตัวชี้วัด q95, q99, Rx1day สำหรับฝนหนัก พร้อมหลีกเลี่ยงการอ้าง hydrological performance เพราะไม่ได้ขับแบบจำลองอุทกวิทยา</w:t>
            </w:r>
          </w:p>
        </w:tc>
        <w:tc>
          <w:tcPr>
            <w:tcW w:type="dxa" w:w="14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2.3; 2.5; 3.2; 4.4; 4.5; Conclusions</w:t>
            </w:r>
          </w:p>
        </w:tc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คณะผู้วิจัยเห็นด้วย จึงปรับกรอบการศึกษาเป็น independent temporal holdout และลดระดับข้อสรุปให้จำกัดอยู่กับคุณสมบัติของข้อมูลฝนที่ประเมินจริง ไม่อ้างว่าผลหลังปรับแก้ยืนยันสมรรถนะทางอุทกวิทยาหรือความคงที่ภายใต้ภูมิอากาศอนาคต</w:t>
            </w:r>
          </w:p>
        </w:tc>
      </w:tr>
      <w:tr>
        <w:tc>
          <w:tcPr>
            <w:tcW w:type="dxa" w:w="900"/>
            <w:noWrap/>
            <w:vAlign w:val="top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4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ภาษาอังกฤษและหน่วยในบทคัดย่อเดิมไม่ถูกต้อง โดย RMSE ควรใช้หน่วย mm month-1 และควรระวังคำว่า decreased</w:t>
            </w:r>
          </w:p>
        </w:tc>
        <w:tc>
          <w:tcPr>
            <w:tcW w:type="dxa" w:w="27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ปรับ Abstract ใหม่ให้รายงานทิศทางผลตามข้อมูลจริง แยก annual-pooled fitting กับ calendar-month fitting และใช้หน่วย mm month-1 สำหรับ RMSE</w:t>
            </w:r>
          </w:p>
        </w:tc>
        <w:tc>
          <w:tcPr>
            <w:tcW w:type="dxa" w:w="14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Abstract; 3.3; ตารางที่ 3-4</w:t>
            </w:r>
          </w:p>
        </w:tc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คณะผู้วิจัยได้แก้ภาษาอังกฤษและหน่วยของตัวชี้วัดแล้ว โดยรายงานว่า calendar-month fitting ลด RMSE รายเดือน ขณะที่ annual-pooled fitting เพิ่ม RMSE รายเดือน เพื่อหลีกเลี่ยงการใช้ถ้อยคำที่สื่อว่าทุกกรณีดีขึ้น</w:t>
            </w:r>
          </w:p>
        </w:tc>
      </w:tr>
      <w:tr>
        <w:tc>
          <w:tcPr>
            <w:tcW w:type="dxa" w:w="900"/>
            <w:noWrap/>
            <w:vAlign w:val="top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5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ข้อสรุปภาษาอังกฤษเดิมเป็นประโยคไม่สมบูรณ์และสับสนระหว่าง RMSE กับ NSE</w:t>
            </w:r>
          </w:p>
        </w:tc>
        <w:tc>
          <w:tcPr>
            <w:tcW w:type="dxa" w:w="27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เขียน Conclusions ภาษาอังกฤษใหม่ แยก RMSE และ NSE ออกจากกัน และตีความการเปลี่ยนแปลงของ RMSE/NSE ร่วมกับองค์ประกอบของ MSE</w:t>
            </w:r>
          </w:p>
        </w:tc>
        <w:tc>
          <w:tcPr>
            <w:tcW w:type="dxa" w:w="14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Abstract: Conclusions; Conclusions; 3.3; 3.5</w:t>
            </w:r>
          </w:p>
        </w:tc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คณะผู้วิจัยได้ตัดข้อความที่สับสนในฉบับเดิมออกทั้งหมด และเขียนข้อสรุปใหม่ให้ชัดว่า RMSE เป็นตัวชี้วัดขนาดความคลาดเคลื่อน ส่วน NSE เป็นดัชนีประสิทธิภาพเชิงอนุกรมที่ควรตีความควบคู่กับองค์ประกอบของความคลาดเคลื่อน</w:t>
            </w:r>
          </w:p>
        </w:tc>
      </w:tr>
      <w:tr>
        <w:tc>
          <w:tcPr>
            <w:tcW w:type="dxa" w:w="900"/>
            <w:noWrap/>
            <w:vAlign w:val="top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6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ข้ออ้างเรื่องช่องว่างการวิจัยควรอ้างอิงงานล่าสุดในไทยและเอเชียตะวันออกเฉียงใต้ และไม่ควรสรุปจากงานเพียงบางรายการ</w:t>
            </w:r>
          </w:p>
        </w:tc>
        <w:tc>
          <w:tcPr>
            <w:tcW w:type="dxa" w:w="27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ปรับบทนำให้ใช้ถ้อยคำระมัดระวังขึ้น และเพิ่มงานที่เกี่ยวข้องกับ CMIP6/QDM/ฝนในภูมิภาค เช่น Supharatid et al., Kuinkel et al., Humphries et al. และ Arif Rafhida et al.</w:t>
            </w:r>
          </w:p>
        </w:tc>
        <w:tc>
          <w:tcPr>
            <w:tcW w:type="dxa" w:w="14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Introduction; References</w:t>
            </w:r>
          </w:p>
        </w:tc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คณะผู้วิจัยเห็นด้วยและได้ปรับการนำเสนอช่องว่างงานวิจัยให้เป็นการสังเคราะห์เชิงประเด็น แทนการกล่าวอ้างแบบกว้างเกินหลักฐาน พร้อมเพิ่มวรรณกรรมร่วมสมัยในประเทศไทยและภูมิภาคเอเชียตะวันออกเฉียงใต้เท่าที่เกี่ยวข้องโดยตรง</w:t>
            </w:r>
          </w:p>
        </w:tc>
      </w:tr>
      <w:tr>
        <w:tc>
          <w:tcPr>
            <w:tcW w:type="dxa" w:w="900"/>
            <w:noWrap/>
            <w:vAlign w:val="top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7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ต้องรายงานแหล่งข้อมูล สัดส่วน missing รายสถานี เกณฑ์ outlier วิธีจัดการ missing homogeneity test และข้อมูล relocation/instrument changes</w:t>
            </w:r>
          </w:p>
        </w:tc>
        <w:tc>
          <w:tcPr>
            <w:tcW w:type="dxa" w:w="27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เพิ่มรายละเอียดแหล่งข้อมูล การจัดการ NoData/ค่าติดลบ เกณฑ์ความครบถ้วนอย่างน้อย 95% การทดสอบ Pettitt ที่ระดับ 0.05 และผลว่าข้อมูลครบถ้วน 100% และไม่พบจุดเปลี่ยนอย่างมีนัยสำคัญในสถานีทั้ง 12 แห่ง พร้อมรายงานลักษณะรายสถานีในตารางที่ 1</w:t>
            </w:r>
          </w:p>
        </w:tc>
        <w:tc>
          <w:tcPr>
            <w:tcW w:type="dxa" w:w="14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2.2; ตารางที่ 1; 4.5; Acknowledgments</w:t>
            </w:r>
          </w:p>
        </w:tc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คณะผู้วิจัยได้เพิ่มรายละเอียดการควบคุมคุณภาพข้อมูลและระบุข้อจำกัดอย่างตรงไปตรงมาว่าการตรวจสอบนี้ไม่ใช้แทนเมตาดาทาเกี่ยวกับการย้ายสถานีหรือการเปลี่ยนเครื่องมือของหน่วยงานเจ้าของข้อมูล เพื่อไม่ให้ตีความเกินจากข้อมูลที่มี</w:t>
            </w:r>
          </w:p>
        </w:tc>
      </w:tr>
      <w:tr>
        <w:tc>
          <w:tcPr>
            <w:tcW w:type="dxa" w:w="900"/>
            <w:noWrap/>
            <w:vAlign w:val="top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8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Nearest-neighbor เป็นการเลือก/รีกริดจุดกริด ไม่ใช่ downscaling และควรรายงานระยะสถานี-กริดกับจำนวนสถานีที่ใช้กริดเดียวกัน</w:t>
            </w:r>
          </w:p>
        </w:tc>
        <w:tc>
          <w:tcPr>
            <w:tcW w:type="dxa" w:w="27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แก้คำอธิบายเป็น nearest-grid-cell extraction และระบุชัดว่าไม่ใช่การลดมาตราส่วนเชิงพื้นที่ พร้อมรายงานจำนวนอนุกรมกริดเซลล์ที่แตกต่างจริงในตารางที่ 2 และอธิบายว่าบางสถานีใช้กริดเดียวกัน</w:t>
            </w:r>
          </w:p>
        </w:tc>
        <w:tc>
          <w:tcPr>
            <w:tcW w:type="dxa" w:w="14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2.2; ตารางที่ 2; 4.5</w:t>
            </w:r>
          </w:p>
        </w:tc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คณะผู้วิจัยเห็นด้วยและได้ยกเลิกถ้อยคำที่สื่อว่า nearest-neighbor สร้างข้อมูลระดับ sub-grid เพิ่มเติม ฉบับแก้ไขใช้ถ้อยคำว่าเป็นการดึงค่าจากกริดเซลล์ที่ใกล้ที่สุดและตีความคู่ประเมิน 60 คู่เป็นชุดประเมิน ไม่ใช่หน่วยเชิงพื้นที่อิสระ 60 หน่วย</w:t>
            </w:r>
          </w:p>
        </w:tc>
      </w:tr>
      <w:tr>
        <w:tc>
          <w:tcPr>
            <w:tcW w:type="dxa" w:w="900"/>
            <w:noWrap/>
            <w:vAlign w:val="top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9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สมมติฐานของ ensemble ไม่มีหลักฐานรองรับ ควรรายงานผลราย GCM genealogy และ uncertainty ก่อนสรุป ensemble</w:t>
            </w:r>
          </w:p>
        </w:tc>
        <w:tc>
          <w:tcPr>
            <w:tcW w:type="dxa" w:w="27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ปรับให้ผลรายแบบจำลองเป็นหลัก และรายงานความแตกต่างระหว่างแบบจำลอง/สถานีใน Results ส่วน MME เป็นการวิเคราะห์รอง ไม่ใช้แทนความไม่แน่นอนเชิงโครงสร้าง และไม่อ้างว่าลด structural uncertainty</w:t>
            </w:r>
          </w:p>
        </w:tc>
        <w:tc>
          <w:tcPr>
            <w:tcW w:type="dxa" w:w="14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2.6; 3.6; ตารางที่ 5; รูปที่ 6-7; 4.4</w:t>
            </w:r>
          </w:p>
        </w:tc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คณะผู้วิจัยเห็นด้วยในหลักการ จึงปรับการนำเสนอให้ไม่ซ่อนความแตกต่างของแบบจำลองไว้ในค่าเฉลี่ยเดียว ส่วนประเด็น genealogy ไม่ได้วิเคราะห์เชิงปริมาณในงานนี้ จึงระบุขอบเขตการตีความของ MME อย่างระมัดระวังแทนการอ้างความเป็นอิสระของแบบจำลอง</w:t>
            </w:r>
          </w:p>
        </w:tc>
      </w:tr>
      <w:tr>
        <w:tc>
          <w:tcPr>
            <w:tcW w:type="dxa" w:w="900"/>
            <w:noWrap/>
            <w:vAlign w:val="top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10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เกิด data leakage หากใช้ช่วงเดียวกัน train QDM และประเมินผล ควรใช้ calibration period และ independent validation period หรือ blocked cross-validation</w:t>
            </w:r>
          </w:p>
        </w:tc>
        <w:tc>
          <w:tcPr>
            <w:tcW w:type="dxa" w:w="27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วิเคราะห์ใหม่โดยใช้ ค.ศ. 1981-2000 สำหรับประมาณฟังก์ชัน QDM และ ค.ศ. 2001-2014 สำหรับประเมินผล โดยไม่ใช้ observations ของช่วงตรวจสอบในการ recalibration</w:t>
            </w:r>
          </w:p>
        </w:tc>
        <w:tc>
          <w:tcPr>
            <w:tcW w:type="dxa" w:w="14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2.3; รูปที่ 2; 2.4; 2.5; Results</w:t>
            </w:r>
          </w:p>
        </w:tc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คณะผู้วิจัยเห็นด้วยและได้แก้กรอบการวิเคราะห์หลักใหม่ทั้งหมด ฟังก์ชัน QDM ถูกประมาณจากช่วงสอบเทียบเพียงช่วงเดียว จากนั้นตรึงไว้และนำไปใช้กับช่วงตรวจสอบอิสระ ทำให้ผลที่รายงานสะท้อนการประเมินนอกช่วงที่ใช้สร้างความสัมพันธ์</w:t>
            </w:r>
          </w:p>
        </w:tc>
      </w:tr>
      <w:tr>
        <w:tc>
          <w:tcPr>
            <w:tcW w:type="dxa" w:w="900"/>
            <w:noWrap/>
            <w:vAlign w:val="top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11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สูตร QDM กล่าวถึง projection distribution และ relative delta แต่ต้นฉบับวิเคราะห์ historical 1981-2014 จึงต้องระบุว่าช่วง projection คือช่วงใด</w:t>
            </w:r>
          </w:p>
        </w:tc>
        <w:tc>
          <w:tcPr>
            <w:tcW w:type="dxa" w:w="27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นิยามช่วง ค.ศ. 2001-2014 เป็น target/holdout period ในการประยุกต์ QDM และระบุว่าการแจกแจงของแบบจำลองในช่วงเป้าหมายใช้เพื่อกำหนดตำแหน่งควอนไทล์ตามหลัก QDM โดยไม่ใช้ข้อมูลสังเกตในช่วงตรวจสอบเพื่อประมาณฟังก์ชันใหม่</w:t>
            </w:r>
          </w:p>
        </w:tc>
        <w:tc>
          <w:tcPr>
            <w:tcW w:type="dxa" w:w="14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2.3; 2.4</w:t>
            </w:r>
          </w:p>
        </w:tc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คณะผู้วิจัยได้ปรับคำอธิบายสมการ QDM ให้ตรงกับการวิเคราะห์ historical holdout โดยหลีกเลี่ยงถ้อยคำที่ทำให้เข้าใจว่าเป็น future projection และระบุบทบาทของช่วงเป้าหมายอย่างชัดเจน</w:t>
            </w:r>
          </w:p>
        </w:tc>
      </w:tr>
      <w:tr>
        <w:tc>
          <w:tcPr>
            <w:tcW w:type="dxa" w:w="900"/>
            <w:noWrap/>
            <w:vAlign w:val="top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12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เหตุผลเรื่อง full-period evaluation ไม่ยอมรับเป็นการประเมินประสิทธิภาพ เพราะทำให้ optimistic และไม่วัด generalization</w:t>
            </w:r>
          </w:p>
        </w:tc>
        <w:tc>
          <w:tcPr>
            <w:tcW w:type="dxa" w:w="27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ตัดกรอบ full-period evaluation เดิมออก และประเมินผลเฉพาะช่วง holdout 2001-2014</w:t>
            </w:r>
          </w:p>
        </w:tc>
        <w:tc>
          <w:tcPr>
            <w:tcW w:type="dxa" w:w="14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2.3; 2.5; Results</w:t>
            </w:r>
          </w:p>
        </w:tc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คณะผู้วิจัยเห็นด้วยและได้ยกเลิกเหตุผลดังกล่าวในฉบับแก้ไข การประเมินประสิทธิภาพทั้งหมดทำในช่วงตรวจสอบอิสระเท่านั้น เพื่อให้การตีความสอดคล้องกับความสามารถในการถ่ายทอดข้ามช่วงเวลา</w:t>
            </w:r>
          </w:p>
        </w:tc>
      </w:tr>
      <w:tr>
        <w:tc>
          <w:tcPr>
            <w:tcW w:type="dxa" w:w="900"/>
            <w:noWrap/>
            <w:vAlign w:val="top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13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การประมาณ quantile ด้วยข้อมูลเต็มช่วงอาจใช้เพื่อ fitting แต่ไม่ใช่เหตุผลให้ละเว้น validation ควรแยก fitting ออกจาก evaluation</w:t>
            </w:r>
          </w:p>
        </w:tc>
        <w:tc>
          <w:tcPr>
            <w:tcW w:type="dxa" w:w="27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แยกขั้นตอน fitting และ evaluation อย่างชัดเจน พร้อมตรวจสอบว่า observations ของช่วงตรวจสอบไม่เข้าสู่ขั้นตอนสร้างฟังก์ชัน QDM</w:t>
            </w:r>
          </w:p>
        </w:tc>
        <w:tc>
          <w:tcPr>
            <w:tcW w:type="dxa" w:w="14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2.3; 2.4; รูปที่ 2</w:t>
            </w:r>
          </w:p>
        </w:tc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คณะผู้วิจัยได้ปรับกระบวนการให้แยกการประมาณฟังก์ชัน การนำฟังก์ชันไปใช้ และการประเมินผลออกจากกัน โดยเพิ่มคำอธิบายใน Methodology และรูปผังการไหลของข้อมูลเพื่อให้ตรวจสอบได้</w:t>
            </w:r>
          </w:p>
        </w:tc>
      </w:tr>
      <w:tr>
        <w:tc>
          <w:tcPr>
            <w:tcW w:type="dxa" w:w="900"/>
            <w:noWrap/>
            <w:vAlign w:val="top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14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การเฉลี่ยค่าฝนรายวันจาก free-running GCMs ที่ phase ไม่ตรงกันทำลาย wet-day/extreme structure ควรประเมินรายโมเดลแล้วสรุป ensemble ภายหลัง</w:t>
            </w:r>
          </w:p>
        </w:tc>
        <w:tc>
          <w:tcPr>
            <w:tcW w:type="dxa" w:w="27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ยกเลิกการสร้าง MME รายวัน และสร้าง MME หลังสะสมเป็นรายเดือนเท่านั้น พร้อมระบุว่า MME ไม่ใช่อนุกรม weather realization</w:t>
            </w:r>
          </w:p>
        </w:tc>
        <w:tc>
          <w:tcPr>
            <w:tcW w:type="dxa" w:w="14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2.6; 3.6; ตารางที่ 5</w:t>
            </w:r>
          </w:p>
        </w:tc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คณะผู้วิจัยเห็นด้วยและได้แก้ไขวิธีวิเคราะห์ตามข้อเสนอแนะ โดยประเมินแบบจำลองรายตัวก่อน จากนั้นจึงสรุป MME รายเดือนเป็นผลรองเพื่อหลีกเลี่ยงการเฉลี่ยเหตุการณ์ฝนรายวันที่ไม่ตรงเฟสกัน</w:t>
            </w:r>
          </w:p>
        </w:tc>
      </w:tr>
      <w:tr>
        <w:tc>
          <w:tcPr>
            <w:tcW w:type="dxa" w:w="900"/>
            <w:noWrap/>
            <w:vAlign w:val="top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15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ensemble spread ที่แคบลงไม่ใช่หลักฐานว่า structural uncertainty ลดลง และอาจประเมิน uncertainty ต่ำเกินจริง</w:t>
            </w:r>
          </w:p>
        </w:tc>
        <w:tc>
          <w:tcPr>
            <w:tcW w:type="dxa" w:w="27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ตัดการตีความ ensemble spread contraction เป็นการลด uncertainty และรายงาน MME เฉพาะในฐานะค่าเฉลี่ยรายเดือนที่ช่วยลด RMSE บางกรณี แต่ไม่ได้เพิ่ม temporal correspondence อย่างจำเป็น</w:t>
            </w:r>
          </w:p>
        </w:tc>
        <w:tc>
          <w:tcPr>
            <w:tcW w:type="dxa" w:w="14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2.6; 3.6; 4.4</w:t>
            </w:r>
          </w:p>
        </w:tc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คณะผู้วิจัยได้ปรับการตีความตามข้อเสนอแนะ โดยไม่ใช้การหดตัวของการกระจายหลังการปรับแก้เป็นหลักฐานของการลดความไม่แน่นอนเชิงโครงสร้าง และระบุข้อจำกัดของ MME อย่างชัดเจน</w:t>
            </w:r>
          </w:p>
        </w:tc>
      </w:tr>
      <w:tr>
        <w:tc>
          <w:tcPr>
            <w:tcW w:type="dxa" w:w="900"/>
            <w:noWrap/>
            <w:vAlign w:val="top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16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การอธิบายผลของ S9 ด้วย orographic rainfall เป็นข้อสันนิษฐาน เพราะ S9 เป็น Inland Plain และสูงเพียง 14.45 m</w:t>
            </w:r>
          </w:p>
        </w:tc>
        <w:tc>
          <w:tcPr>
            <w:tcW w:type="dxa" w:w="27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ตัดข้อสรุปเชิงสาเหตุเกี่ยวกับ orographic rainfall และใช้การอธิบายจากลักษณะระเบียนที่สังเกตได้แทน เช่น SDII และ lag-1 autocorrelation ของสถานี</w:t>
            </w:r>
          </w:p>
        </w:tc>
        <w:tc>
          <w:tcPr>
            <w:tcW w:type="dxa" w:w="14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3.1; 3.6; 4.5</w:t>
            </w:r>
          </w:p>
        </w:tc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คณะผู้วิจัยเห็นด้วยและได้ลดระดับการตีความเชิงสาเหตุ โดยหลีกเลี่ยงการอ้างอิทธิพลภูเขาโดยไม่มีหลักฐานจาก exposure หรือ grid mapping ที่เพียงพอ</w:t>
            </w:r>
          </w:p>
        </w:tc>
      </w:tr>
      <w:tr>
        <w:tc>
          <w:tcPr>
            <w:tcW w:type="dxa" w:w="900"/>
            <w:noWrap/>
            <w:vAlign w:val="top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17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ไม่มี statistical test, p-value หรือ confidence interval จึงไม่ควรใช้คำว่าอย่างมีนัยสำคัญ หรือควรเพิ่ม dependence-aware block bootstrap/permutation test</w:t>
            </w:r>
          </w:p>
        </w:tc>
        <w:tc>
          <w:tcPr>
            <w:tcW w:type="dxa" w:w="27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เพิ่ม year-block bootstrap 2,000 ซ้ำสำหรับผลต่างแบบจับคู่และควบคุม FDR ด้วย Benjamini-Yekutieli ภายใต้ครอบครัว 120 สมมติฐาน พร้อมรายงาน confidence limits และจำนวนคู่ที่ดีขึ้น/แย่ลง/ไม่ต่างในตารางที่ 4</w:t>
            </w:r>
          </w:p>
        </w:tc>
        <w:tc>
          <w:tcPr>
            <w:tcW w:type="dxa" w:w="14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2.5; ตารางที่ 4; 3.3</w:t>
            </w:r>
          </w:p>
        </w:tc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คณะผู้วิจัยเห็นด้วยและได้เพิ่มการอนุมานทางสถิติที่คำนึงถึงการพึ่งพาเชิงเวลาและการทดสอบหลายครั้ง โดยใช้ปีปฏิทินเป็นบล็อกในการ bootstrap และใช้ Benjamini-Yekutieli เป็นเกณฑ์หลักเนื่องจากคู่ประเมินไม่เป็นอิสระต่อกันเชิงพื้นที่</w:t>
            </w:r>
          </w:p>
        </w:tc>
      </w:tr>
      <w:tr>
        <w:tc>
          <w:tcPr>
            <w:tcW w:type="dxa" w:w="900"/>
            <w:noWrap/>
            <w:vAlign w:val="top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18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Taylor diagram และกราฟอนุกรมเวลาเป็นหลักฐานเชิงพรรณนา ไม่ได้ยืนยันความน่าเชื่อถือ โดยเฉพาะเมื่อเป็น in-sample และ daily/model phases ไม่ตรงกัน</w:t>
            </w:r>
          </w:p>
        </w:tc>
        <w:tc>
          <w:tcPr>
            <w:tcW w:type="dxa" w:w="27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ตัดการพึ่งพา Taylor diagram เป็นหลักฐานยืนยัน และแทนด้วยการรายงานตัวชี้วัดเชิงปริมาณ ตารางผล bootstrap และการแยก MSE/temporal correlation</w:t>
            </w:r>
          </w:p>
        </w:tc>
        <w:tc>
          <w:tcPr>
            <w:tcW w:type="dxa" w:w="14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3.3-3.5; ตารางที่ 3-4; รูปที่ 4-5</w:t>
            </w:r>
          </w:p>
        </w:tc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คณะผู้วิจัยเห็นด้วยและได้ปรับการนำเสนอให้กราฟทำหน้าที่สนับสนุนการอธิบายเชิงพรรณนาเท่านั้น ส่วนข้อสรุปหลักอาศัยผลตัวชี้วัด การอนุมานแบบ bootstrap และการแยกองค์ประกอบของความคลาดเคลื่อน</w:t>
            </w:r>
          </w:p>
        </w:tc>
      </w:tr>
      <w:tr>
        <w:tc>
          <w:tcPr>
            <w:tcW w:type="dxa" w:w="900"/>
            <w:noWrap/>
            <w:vAlign w:val="top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19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ข้อสรุปต้องลดระดับ เพราะไม่มีการทดสอบนัยสำคัญและไม่มี independent validation</w:t>
            </w:r>
          </w:p>
        </w:tc>
        <w:tc>
          <w:tcPr>
            <w:tcW w:type="dxa" w:w="27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เขียน Conclusions ใหม่ภายใต้กรอบ independent temporal holdout และใช้ผลจาก bootstrap/BY ประกอบเฉพาะตัวชี้วัดที่ทดสอบ</w:t>
            </w:r>
          </w:p>
        </w:tc>
        <w:tc>
          <w:tcPr>
            <w:tcW w:type="dxa" w:w="14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Conclusions; 4.1-4.5</w:t>
            </w:r>
          </w:p>
        </w:tc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คณะผู้วิจัยได้ลดระดับข้อสรุปให้สอดคล้องกับหลักฐาน โดยสรุปว่า QDM มีความสามารถในการถ่ายทอดบางคุณสมบัติข้ามช่วงเวลาอย่างมีเงื่อนไข แต่ไม่สามารถกู้คืนความสอดคล้องเชิงเวลาที่ไม่มีในแบบจำลองเดิม</w:t>
            </w:r>
          </w:p>
        </w:tc>
      </w:tr>
      <w:tr>
        <w:tc>
          <w:tcPr>
            <w:tcW w:type="dxa" w:w="900"/>
            <w:noWrap/>
            <w:vAlign w:val="top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20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รายการอ้างอิงหนึ่งตรวจไม่พบตาม DOI ที่อ้าง</w:t>
            </w:r>
          </w:p>
        </w:tc>
        <w:tc>
          <w:tcPr>
            <w:tcW w:type="dxa" w:w="27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ตัดรายการที่ตรวจสอบไม่ได้ออก และคงเฉพาะรายการที่ DOI และข้อมูลบรรณานุกรมตรวจสอบได้</w:t>
            </w:r>
          </w:p>
        </w:tc>
        <w:tc>
          <w:tcPr>
            <w:tcW w:type="dxa" w:w="14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References</w:t>
            </w:r>
          </w:p>
        </w:tc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คณะผู้วิจัยได้ตรวจสอบรายการอ้างอิงใหม่และนำรายการที่ไม่สามารถยืนยันความตรงกันระหว่างชื่อบทความกับ DOI ออกจากต้นฉบับ เพื่อให้เอกสารอ้างอิงมีความน่าเชื่อถือ</w:t>
            </w:r>
          </w:p>
        </w:tc>
      </w:tr>
      <w:tr>
        <w:tc>
          <w:tcPr>
            <w:tcW w:type="dxa" w:w="900"/>
            <w:noWrap/>
            <w:vAlign w:val="top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21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DOI ของ Vrac (2018) ไม่สอดคล้องกับชื่อบทความ ต้องตรวจและแก้ทั้งชื่อเรื่อง วารสาร หน้า และ DOI</w:t>
            </w:r>
          </w:p>
        </w:tc>
        <w:tc>
          <w:tcPr>
            <w:tcW w:type="dxa" w:w="27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ตัดรายการ Vrac ที่มีความไม่สอดคล้องออกจาก reference list และไม่ใช้อ้างอิงในเนื้อหาฉบับแก้ไข</w:t>
            </w:r>
          </w:p>
        </w:tc>
        <w:tc>
          <w:tcPr>
            <w:tcW w:type="dxa" w:w="14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References</w:t>
            </w:r>
          </w:p>
        </w:tc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คณะผู้วิจัยเห็นด้วยและเลือกตัดรายการดังกล่าวออกแทนการคงรายการที่ยังไม่แน่นอน โดยคำอธิบายวิธี QDM อ้างอิง Cannon et al. (2015) เป็นแหล่งวิธีวิทยาหลักร่วมกับวรรณกรรมที่ตรวจสอบได้</w:t>
            </w:r>
          </w:p>
        </w:tc>
      </w:tr>
      <w:tr>
        <w:tc>
          <w:tcPr>
            <w:tcW w:type="dxa" w:w="900"/>
            <w:noWrap/>
            <w:vAlign w:val="top"/>
          </w:tcPr>
          <w:p>
            <w:pPr>
              <w:spacing w:after="40"/>
              <w:jc w:val="center"/>
            </w:pPr>
            <w:r>
              <w:rPr>
                <w:rFonts w:ascii="TH Sarabun New" w:hAnsi="TH Sarabun New" w:eastAsia="TH Sarabun New"/>
                <w:sz w:val="21"/>
              </w:rPr>
              <w:t>22</w:t>
            </w:r>
          </w:p>
        </w:tc>
        <w:tc>
          <w:tcPr>
            <w:tcW w:type="dxa" w:w="220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DOI ของ Wang et al. ไม่ตรงกับบทความ precipitation bias correction ที่อ้าง</w:t>
            </w:r>
          </w:p>
        </w:tc>
        <w:tc>
          <w:tcPr>
            <w:tcW w:type="dxa" w:w="27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ตัดรายการ Wang et al. ที่ไม่ตรงกับ DOI ออก และใช้แหล่งอ้างอิงด้านวิธีวิทยา/ภูมิภาคที่ตรวจสอบได้แทน</w:t>
            </w:r>
          </w:p>
        </w:tc>
        <w:tc>
          <w:tcPr>
            <w:tcW w:type="dxa" w:w="14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Introduction; References</w:t>
            </w:r>
          </w:p>
        </w:tc>
        <w:tc>
          <w:tcPr>
            <w:tcW w:type="dxa" w:w="3150"/>
            <w:vAlign w:val="top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sz w:val="21"/>
              </w:rPr>
              <w:t>คณะผู้วิจัยได้แก้ไขตามข้อเสนอแนะ โดยตัดรายการที่ DOI ไม่ตรงกับบทความออกจากรายการอ้างอิงและไม่ใช้เป็นหลักฐานในเนื้อหาฉบับแก้ไข</w:t>
            </w:r>
          </w:p>
        </w:tc>
      </w:tr>
    </w:tbl>
    <w:p>
      <w:r>
        <w:rPr>
          <w:rFonts w:ascii="TH Sarabun New" w:hAnsi="TH Sarabun New" w:eastAsia="TH Sarabun New"/>
          <w:b w:val="0"/>
          <w:sz w:val="28"/>
        </w:rPr>
      </w:r>
    </w:p>
    <w:p>
      <w:pPr>
        <w:pStyle w:val="Heading1"/>
      </w:pPr>
      <w:r>
        <w:rPr>
          <w:rFonts w:ascii="TH Sarabun New" w:hAnsi="TH Sarabun New" w:eastAsia="TH Sarabun New"/>
          <w:b w:val="0"/>
          <w:sz w:val="28"/>
        </w:rPr>
        <w:t>ประเด็นที่ควรตรวจขั้นสุดท้ายก่อนส่ง</w:t>
      </w:r>
    </w:p>
    <w:p>
      <w:pPr>
        <w:pStyle w:val="ListBullet"/>
      </w:pPr>
      <w:r>
        <w:t>ใช้คำเรียกกรอบการตรวจสอบให้สม่ำเสมอทั้งบทความ เช่น ใช้ “การตรวจสอบด้วยช่วงเวลาอิสระ” สำหรับแนวคิด และ “ช่วงตรวจสอบอิสระ” สำหรับช่วงข้อมูล</w:t>
      </w:r>
    </w:p>
    <w:p>
      <w:pPr>
        <w:pStyle w:val="ListBullet"/>
      </w:pPr>
      <w:r>
        <w:t>ตรวจข้อกำหนดของวารสารว่าต้องส่งต้นฉบับพร้อม line numbers หรือฉบับสะอาด หากไม่กำหนด ควรถอดเลขบรรทัดก่อนส่ง</w:t>
      </w:r>
    </w:p>
    <w:p>
      <w:pPr>
        <w:pStyle w:val="ListBullet"/>
      </w:pPr>
      <w:r>
        <w:t>ตรวจการวางรูปและคำบรรยายภาพ โดยเฉพาะรูปที่ 7 ซึ่งในฉบับเรนเดอร์แยกภาพกับ caption คนละหน้า</w:t>
      </w:r>
    </w:p>
    <w:p>
      <w:pPr>
        <w:pStyle w:val="ListBullet"/>
      </w:pPr>
      <w:r>
        <w:t>ตรวจความสอดคล้องของคำว่า calibration, holdout, validation และ fitting configuration ในภาษาไทยและอังกฤษ</w:t>
      </w:r>
    </w:p>
    <w:p>
      <w:pPr>
        <w:pStyle w:val="ListBullet"/>
      </w:pPr>
      <w:r>
        <w:t>ตรวจว่า references ทุกฉบับที่อยู่ในรายการอ้างอิงยังมีการอ้างในเนื้อหา ตาราง หรือหมายเหตุตารางตามความจำเป็น</w:t>
      </w:r>
    </w:p>
    <w:p>
      <w:r>
        <w:rPr>
          <w:rFonts w:ascii="TH Sarabun New" w:hAnsi="TH Sarabun New" w:eastAsia="TH Sarabun New"/>
          <w:b w:val="0"/>
          <w:sz w:val="28"/>
        </w:rPr>
      </w:r>
    </w:p>
    <w:p>
      <w:r>
        <w:rPr>
          <w:rFonts w:ascii="TH Sarabun New" w:hAnsi="TH Sarabun New" w:eastAsia="TH Sarabun New"/>
          <w:b w:val="0"/>
          <w:sz w:val="28"/>
        </w:rPr>
        <w:t>โดยสรุป คำชี้แจงฉบับนี้ยืนยันว่าต้นฉบับได้ปรับแก้ประเด็นหลักของผู้ทรงคุณวุฒิแล้ว โดยเฉพาะการแก้ data leakage การแยกการประเมินรายแบบจำลอง การลดระดับข้อสรุป การเพิ่มการอนุมานทางสถิติ และการแก้รายการอ้างอิงที่มีปัญหา ทั้งนี้ยังควรตรวจรูปแบบเอกสารขั้นสุดท้ายก่อนส่งเข้าสู่ระบบวารสาร</w:t>
      </w:r>
    </w:p>
    <w:sectPr w:rsidR="00FC693F" w:rsidRPr="0006063C" w:rsidSect="00034616">
      <w:pgSz w:w="15840" w:h="12240" w:orient="landscape"/>
      <w:pgMar w:top="1080" w:right="792" w:bottom="108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