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 w:val="0"/>
        <w:widowControl/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Supplementary Information</w:t>
      </w:r>
    </w:p>
    <w:p>
      <w:pPr>
        <w:keepNext/>
        <w:keepLines w:val="0"/>
        <w:widowControl/>
        <w:spacing w:line="480" w:lineRule="auto" w:before="0" w:after="0"/>
        <w:jc w:val="center"/>
      </w:pPr>
      <w:r>
        <w:rPr>
          <w:rFonts w:ascii="Times New Roman" w:hAnsi="Times New Roman" w:eastAsia="Times New Roman"/>
          <w:i w:val="0"/>
          <w:color w:val="000000"/>
          <w:sz w:val="20"/>
        </w:rPr>
        <w:t>Baseline-source sensitivity and robustness of supplied bias-corrected CMIP6 daily precipitation-extreme projections for Uttaradit Province, Thailand</w:t>
      </w:r>
    </w:p>
    <w:p>
      <w:pPr>
        <w:keepNext/>
        <w:keepLines w:val="0"/>
        <w:widowControl/>
        <w:spacing w:line="480" w:lineRule="auto" w:before="0" w:after="0"/>
        <w:jc w:val="center"/>
      </w:pPr>
      <w:r>
        <w:rPr>
          <w:rFonts w:ascii="Times New Roman" w:hAnsi="Times New Roman" w:eastAsia="Times New Roman"/>
          <w:i w:val="0"/>
          <w:color w:val="000000"/>
          <w:sz w:val="20"/>
          <w:highlight w:val="yellow"/>
        </w:rPr>
        <w:t>[Author list identical to the main manuscript]</w:t>
      </w:r>
    </w:p>
    <w:p>
      <w:pPr>
        <w:keepNext/>
        <w:keepLines w:val="0"/>
        <w:widowControl/>
        <w:spacing w:line="480" w:lineRule="auto" w:before="0" w:after="0"/>
        <w:jc w:val="center"/>
      </w:pPr>
      <w:r>
        <w:rPr>
          <w:rFonts w:ascii="Times New Roman" w:hAnsi="Times New Roman" w:eastAsia="Times New Roman"/>
          <w:i/>
          <w:color w:val="000000"/>
          <w:sz w:val="20"/>
          <w:highlight w:val="yellow"/>
        </w:rPr>
        <w:t>[Corresponding author and email]</w:t>
      </w:r>
    </w:p>
    <w:p>
      <w:pPr>
        <w:pStyle w:val="1"/>
        <w:keepNext/>
        <w:keepLines/>
        <w:widowControl/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Scope and evidence boundary</w:t>
      </w:r>
    </w:p>
    <w:p>
      <w:pPr>
        <w:keepNext w:val="0"/>
        <w:keepLines w:val="0"/>
        <w:widowControl/>
        <w:spacing w:line="480" w:lineRule="auto" w:before="0" w:after="0"/>
        <w:jc w:val="both"/>
      </w:pPr>
      <w:r>
        <w:rPr>
          <w:rFonts w:ascii="Times New Roman" w:hAnsi="Times New Roman" w:eastAsia="Times New Roman"/>
          <w:color w:val="000000"/>
          <w:sz w:val="20"/>
        </w:rPr>
        <w:t>This Supplementary Information reports only tables and diagnostics derived from the previously audited outputs used in the main manuscript. No new climate-model simulation, bias-correction run, projection window, bootstrap analysis, model weighting, or spatial-independence analysis was added during revision.</w:t>
      </w:r>
    </w:p>
    <w:p>
      <w:pPr>
        <w:keepNext w:val="0"/>
        <w:keepLines w:val="0"/>
        <w:widowControl/>
        <w:spacing w:line="480" w:lineRule="auto" w:before="0" w:after="0"/>
        <w:jc w:val="both"/>
      </w:pPr>
      <w:r>
        <w:rPr>
          <w:rFonts w:ascii="Times New Roman" w:hAnsi="Times New Roman" w:eastAsia="Times New Roman"/>
          <w:color w:val="000000"/>
          <w:sz w:val="20"/>
        </w:rPr>
        <w:t>Table S1 provides all 66 scenario–period–index combinations; Tables S2–S3 expand the historical performance and residual-bias summaries; Supplementary Note S1 records why archived trend p-values were excluded. Missing bias-correction provenance, source-grid metadata, model genealogy, and author-owned declarations are not inferred.</w:t>
      </w:r>
    </w:p>
    <w:p>
      <w:pPr>
        <w:sectPr>
          <w:headerReference w:type="even" r:id="rId10"/>
          <w:headerReference w:type="default" r:id="rId11"/>
          <w:headerReference w:type="first" r:id="rId12"/>
          <w:type w:val="continuous"/>
          <w:pgSz w:w="11907" w:h="16840" w:code="9"/>
          <w:pgMar w:top="1440" w:right="1440" w:bottom="1440" w:left="1440" w:header="709" w:footer="1440" w:gutter="0"/>
          <w:cols w:space="274"/>
          <w:docGrid w:linePitch="360"/>
        </w:sectPr>
      </w:pPr>
    </w:p>
    <w:p>
      <w:pPr>
        <w:pStyle w:val="1"/>
        <w:keepNext/>
        <w:keepLines/>
        <w:widowControl/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Complete baseline-source sensitivity</w:t>
      </w:r>
    </w:p>
    <w:p>
      <w:pPr>
        <w:keepNext/>
        <w:keepLines w:val="0"/>
        <w:widowControl/>
        <w:spacing w:line="240" w:lineRule="auto" w:before="0" w:after="0"/>
        <w:jc w:val="left"/>
      </w:pPr>
      <w:r>
        <w:rPr>
          <w:rFonts w:ascii="Times New Roman" w:hAnsi="Times New Roman" w:eastAsia="Times New Roman"/>
          <w:b/>
          <w:color w:val="000000"/>
          <w:sz w:val="18"/>
        </w:rPr>
        <w:t xml:space="preserve">Table S1a. </w:t>
      </w:r>
      <w:r>
        <w:rPr>
          <w:rFonts w:ascii="Times New Roman" w:hAnsi="Times New Roman" w:eastAsia="Times New Roman"/>
          <w:color w:val="000000"/>
          <w:sz w:val="18"/>
        </w:rPr>
        <w:t>Complete baseline-source sensitivity results for SSP2-4.5 (33 combinations).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631"/>
        <w:gridCol w:w="1631"/>
        <w:gridCol w:w="1631"/>
        <w:gridCol w:w="1631"/>
        <w:gridCol w:w="1631"/>
        <w:gridCol w:w="1631"/>
        <w:gridCol w:w="1631"/>
        <w:gridCol w:w="1631"/>
        <w:gridCol w:w="1631"/>
      </w:tblGrid>
      <w:tr>
        <w:trPr>
          <w:tblHeader w:val="true"/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Scenario–period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Index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Model-consistent signed native-unit change, median [Q1, Q3]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Model-consistent change, median [Q1, Q3] (%)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Model agreement; class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Observed-reference signed native-unit change, median [Q1, Q3]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Observed-reference change, median [Q1, Q3] (%)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Observed agreement; class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Baseline effect (obs − model)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PRCPTOT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+6.5 [-60.5, +92.4]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+0.6 [-5.3, +9.6]%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-47.1 [-65.2, -34.2]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-4.2 [-5.8, -3.1]%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-4.8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SDII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-0.0 [-0.2, +0.1]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-0.3 [-1.3, +1.1]%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+1.8 [+1.7, +2.1]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+17.8 [+16.7, +20.1]%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+18.1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Rx1day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+7.7 [-1.6, +11.6]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+11.4 [-2.2, +16.0]%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-2.1 [-5.1, +4.4]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-2.7 [-6.6, +5.7]%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-14.1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Rx5day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+4.9 [-5.6, +19.9]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+2.8 [-3.5, +12.3]%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+25.7 [+19.0, +43.2]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+17.8 [+13.2, +30.0]%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+15.1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CDD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-0.6 [-1.2, +0.2]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-0.9 [-1.9, +0.4]%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+13.4 [+12.0, +15.5]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+28.1 [+25.2, +32.5]%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+29.0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CWD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+0.3 [-0.2, +0.6]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+2.9 [-2.0, +5.1]%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-20.8 [-21.4, -20.2]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-64.7 [-66.5, -62.9]%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-67.6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R10mm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-1.2 [-2.9, +1.5]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-3.6 [-7.9, +4.8]%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+2.6 [+2.5, +3.3]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+8.6 [+8.2, +10.7]%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+12.2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R20mm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-1.1 [-1.4, +1.0]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-6.8 [-8.9, +7.5]%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+2.7 [+2.4, +3.3]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+22.8 [+20.2, +27.3]%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+29.5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R50mm†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+0.1 [+0.0, +0.4]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+7.0 [+0.3, +21.6]%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+0.1 [+0.1, +0.3]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+6.1 [+2.5, +11.9]%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-0.9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R95p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+19.0 [-16.8, +35.3]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+5.2 [-4.4, +11.3]%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+69.2 [+63.0, +86.3]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+23.3 [+21.2, +29.0]%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+18.0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R99p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+11.4 [+1.6, +26.8]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+8.4 [+1.1, +21.0]%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+37.0 [+32.6, +48.8]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+31.5 [+27.8, +41.6]%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+23.1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PRCPTOT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+39.7 [-18.0, +65.6]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+3.5 [-1.8, +6.0]%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+12.1 [-108.8, +67.8]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+1.1 [-9.7, +6.1]%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-2.4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SDII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+0.2 [-0.1, +1.1]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+1.3 [-0.7, +9.1]%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+2.3 [+1.5, +3.3]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+22.1 [+14.1, +32.0]%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+20.8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Rx1day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+11.0 [+0.8, +15.1]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+17.1 [+1.2, +20.1]%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-0.8 [-4.5, +12.9]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-1.1 [-5.9, +16.7]%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-18.1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Rx5day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+21.0 [+12.7, +46.4]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+12.5 [+7.5, +27.4]%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+53.0 [+28.2, +73.4]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+36.8 [+19.6, +51.0]%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+24.3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CDD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-1.1 [-3.3, +1.4]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-1.9 [-5.2, +2.2]%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+14.0 [+10.7, +15.0]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+29.5 [+22.6, +31.4]%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+31.3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CWD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-0.2 [-0.3, +0.9]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-2.0 [-2.9, +8.9]%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-20.7 [-21.3, -20.4]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-64.4 [-66.1, -63.5]%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-62.4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R10mm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-1.3 [-2.0, +0.3]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-4.4 [-5.3, +0.7]%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+3.9 [+0.7, +4.5]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+12.7 [+2.3, +14.7]%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+17.2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R20mm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-0.3 [-0.5, +0.9]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-2.2 [-3.0, +5.8]%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+4.2 [+1.8, +4.5]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+35.0 [+15.0, +37.7]%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+37.2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R50mm†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+0.6 [+0.2, +1.1]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+30.8 [+8.4, +45.3]%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+0.6 [+0.0, +1.2]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+27.7 [+2.2, +57.5]%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-3.0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R95p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+36.1 [+5.7, +106.9]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+9.9 [+1.5, +27.6]%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+110.7 [+52.1, +197.1]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+37.2 [+17.5, +66.3]%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+27.3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R99p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+37.6 [+11.6, +87.4]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+26.5 [+8.4, +55.4]%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+62.0 [+32.9, +127.7]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+52.8 [+28.0, +108.7]%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+26.2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PRCPTOT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-38.7 [-132.2, +14.3]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-3.4 [-12.7, +1.7]%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-68.2 [-209.5, -19.1]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-6.1 [-18.7, -1.7]%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-2.7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SDII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+0.1 [-1.0, +0.2]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+0.8 [-8.4, +1.9]%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+1.7 [+0.7, +2.3]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+16.4 [+6.6, +22.3]%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+15.6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Rx1day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+4.9 [-3.6, +11.5]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+6.2 [-5.7, +16.6]%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+1.3 [-11.1, +7.6]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+1.6 [-14.4, +9.9]%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-4.5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Rx5day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+9.0 [-8.7, +31.0]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+6.0 [-5.6, +18.4]%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+31.3 [+5.1, +58.0]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+21.7 [+3.5, +40.3]%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+15.7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CDD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-2.0 [-2.3, +0.3]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-3.2 [-3.7, +0.5]%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+12.9 [+11.7, +14.6]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+27.0 [+24.6, +30.7]%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+30.2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CWD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-0.1 [-0.7, +0.6]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-1.1 [-5.8, +5.0]%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-20.7 [-21.8, -19.9]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-64.5 [-67.7, -61.9]%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-63.4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R10mm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-3.8 [-5.1, -0.9]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-10.3 [-14.8, -2.2]%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+1.5 [-1.9, +2.6]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+4.8 [-6.3, +8.5]%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+15.1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R20mm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-0.7 [-2.9, +0.2]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-4.3 [-19.1, +1.4]%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+2.4 [-0.0, +3.8]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+20.1 [-0.4, +31.9]%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+24.4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R50mm†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+0.3 [-0.3, +0.6]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+18.1 [-14.0, +27.8]%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+0.4 [-0.5, +0.8]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+18.4 [-24.4, +35.6]%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+0.3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R95p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+24.5 [-48.3, +51.8]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+8.2 [-14.5, +13.4]%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+98.2 [-17.2, +141.9]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+33.0 [-5.8, +47.7]%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+24.8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SSP2-4.5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R99p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+28.7 [-10.8, +47.8]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+24.7 [-9.6, +30.2]%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+72.0 [-2.1, +88.0]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+61.3 [-1.8, +74.9]%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+36.6 pp; sign reversal: no; class changed: no</w:t>
            </w:r>
          </w:p>
        </w:tc>
      </w:tr>
    </w:tbl>
    <w:p>
      <w:pPr>
        <w:keepNext w:val="0"/>
        <w:keepLines w:val="0"/>
        <w:widowControl/>
        <w:spacing w:line="240" w:lineRule="auto" w:before="0" w:after="0"/>
        <w:jc w:val="left"/>
      </w:pPr>
    </w:p>
    <w:p>
      <w:pPr>
        <w:keepNext w:val="0"/>
        <w:keepLines w:val="0"/>
        <w:widowControl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Note: </w:t>
      </w:r>
      <w:r>
        <w:rPr>
          <w:rFonts w:ascii="Times New Roman" w:hAnsi="Times New Roman" w:eastAsia="Times New Roman"/>
          <w:color w:val="000000"/>
          <w:sz w:val="16"/>
        </w:rPr>
        <w:t>Model-consistent = future supplied bias-corrected minus supplied bias-corrected historical 1995–2014; observed-reference = future supplied bias-corrected minus observed 1995–2014. Values are medians and Q1–Q3 across seven model-specific regional contrasts after equal weighting of 13 stations. “Signed native-unit change” is not an absolute magnitude. Agreement is the number of models sharing the ensemble direction; ≥6/7 is a descriptive robustness screen, not a significance test. Baseline effect is the signed observed-reference median minus the model-consistent median in percentage points. †R50mm percentages are denominator-sensitive; signed days yr⁻¹ should be prioritized.</w:t>
      </w:r>
    </w:p>
    <w:p>
      <w:pPr>
        <w:keepNext/>
        <w:keepLines w:val="0"/>
        <w:widowControl/>
        <w:spacing w:line="240" w:lineRule="auto" w:before="0" w:after="0"/>
        <w:jc w:val="left"/>
      </w:pPr>
      <w:r>
        <w:rPr>
          <w:rFonts w:ascii="Times New Roman" w:hAnsi="Times New Roman" w:eastAsia="Times New Roman"/>
          <w:b/>
          <w:color w:val="000000"/>
          <w:sz w:val="18"/>
        </w:rPr>
        <w:t xml:space="preserve">Table S1b. </w:t>
      </w:r>
      <w:r>
        <w:rPr>
          <w:rFonts w:ascii="Times New Roman" w:hAnsi="Times New Roman" w:eastAsia="Times New Roman"/>
          <w:color w:val="000000"/>
          <w:sz w:val="18"/>
        </w:rPr>
        <w:t>Complete baseline-source sensitivity results for SSP5-8.5 (33 combinations).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631"/>
        <w:gridCol w:w="1631"/>
        <w:gridCol w:w="1631"/>
        <w:gridCol w:w="1631"/>
        <w:gridCol w:w="1631"/>
        <w:gridCol w:w="1631"/>
        <w:gridCol w:w="1631"/>
        <w:gridCol w:w="1631"/>
        <w:gridCol w:w="1631"/>
      </w:tblGrid>
      <w:tr>
        <w:trPr>
          <w:tblHeader w:val="true"/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Scenario–period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Index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Model-consistent signed native-unit change, median [Q1, Q3]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Model-consistent change, median [Q1, Q3] (%)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Model agreement; class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Observed-reference signed native-unit change, median [Q1, Q3]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Observed-reference change, median [Q1, Q3] (%)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Observed agreement; class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Baseline effect (obs − model)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PRCPTOT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+32.4 [-10.9, +58.1]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+3.1 [-1.3, +5.5]%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-27.4 [-131.5, +11.9]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-2.4 [-11.7, +1.1]%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-5.5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SDII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-0.1 [-0.4, +0.4]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-0.8 [-2.9, +3.4]%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+1.6 [+1.3, +2.5]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+15.9 [+12.8, +24.1]%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+16.7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Rx1day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+8.8 [-0.1, +12.0]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+12.5 [-0.0, +15.8]%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+2.5 [-6.0, +8.2]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+3.3 [-7.8, +10.7]%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-9.2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Rx5day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+9.6 [-0.6, +42.2]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+6.4 [-0.5, +25.5]%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+38.8 [+17.6, +63.8]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+26.9 [+12.2, +44.3]%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+20.5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CDD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-0.2 [-2.3, +1.5]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-0.3 [-3.7, +2.3]%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+13.9 [+11.1, +14.1]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+29.1 [+23.3, +29.6]%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+29.4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CWD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+0.3 [+0.1, +0.5]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+2.2 [+0.8, +4.8]%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-20.2 [-21.1, -19.9]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-62.8 [-65.7, -61.9]%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-65.0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R10mm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-0.1 [-1.1, +0.3]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-0.2 [-3.4, +1.0]%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+2.1 [+0.7, +4.8]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+6.8 [+2.4, +15.7]%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+7.1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R20mm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+0.1 [-1.3, +0.6]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+0.4 [-8.4, +4.5]%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+3.2 [+1.3, +3.9]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+26.6 [+11.1, +32.4]%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+26.2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R50mm†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+0.3 [-0.0, +0.7]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+16.5 [-1.5, +29.7]%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+0.2 [-0.2, +0.7]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+7.7 [-8.5, +34.2]%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-8.8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R95p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+23.4 [-22.8, +70.7]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+7.8 [-6.9, +17.9]%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+67.9 [+26.0, +141.5]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+22.8 [+8.7, +47.6]%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+15.0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2021–2040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R99p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+28.0 [-6.5, +58.5]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+24.1 [-4.9, +36.9]%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+31.0 [+21.0, +91.3]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+26.4 [+17.9, +77.7]%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+2.3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PRCPTOT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-17.2 [-127.6, -8.6]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-1.9 [-11.6, -0.8]%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-116.5 [-195.2, +6.2]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-10.4 [-17.4, +0.6]%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-8.6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SDII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-0.7 [-1.5, -0.5]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-5.5 [-12.6, -3.7]%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+1.4 [+0.0, +1.8]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+13.8 [+0.1, +16.9]%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+19.3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Rx1day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+1.5 [-0.2, +6.6]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+2.0 [-0.4, +8.9]%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+1.1 [-11.4, +4.5]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+1.5 [-14.8, +5.8]%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-0.5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Rx5day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+7.6 [-11.5, +12.5]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+4.2 [-7.4, +7.6]%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+33.3 [+1.2, +38.5]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+23.2 [+0.9, +26.8]%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+18.9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CDD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-2.6 [-3.5, -0.5]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-4.2 [-5.6, -0.8]%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+10.5 [+10.3, +13.6]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+22.0 [+21.7, +28.7]%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+26.1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CWD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+0.6 [+0.0, +0.7]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+4.8 [+0.5, +7.1]%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-20.2 [-21.0, -19.9]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-63.0 [-65.2, -61.9]%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-67.8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R10mm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-1.7 [-5.0, -0.9]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-4.5 [-15.3, -2.7]%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-0.2 [-1.2, +4.6]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-0.7 [-4.0, +14.8]%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+3.8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R20mm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-1.2 [-3.3, -0.8]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-9.4 [-21.7, -5.1]%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+1.3 [-0.5, +3.7]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+11.1 [-4.2, +30.7]%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+20.5 pp; sign reversal: yes;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R50mm†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-0.1 [-0.4, +0.2]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-6.4 [-22.7, +9.7]%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+0.0 [-0.7, +0.4]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+1.8 [-34.7, +19.5]%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+8.2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R95p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-28.2 [-68.0, +11.4]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-7.3 [-21.1, +2.9]%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+60.3 [-43.1, +107.8]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+20.3 [-14.5, +36.2]%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+27.6 pp; sign reversal: yes;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2041–2060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R99p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+2.9 [-26.7, +19.6]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+1.8 [-20.1, +12.5]%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+46.4 [-17.0, +60.2]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+39.5 [-14.5, +51.2]%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+37.7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PRCPTOT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-492.5 [-524.9, -189.2]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-46.7 [-52.8, -17.3]%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-513.0 [-636.6, -220.9]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-45.8 [-56.9, -19.7]%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+0.9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SDII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-3.4 [-4.4, -2.0]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-27.7 [-37.3, -15.9]%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-1.4 [-3.0, +0.1]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-13.1 [-28.8, +0.7]%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+14.6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Rx1day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-20.2 [-21.4, -6.5]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-25.6 [-31.7, -8.5]%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-18.4 [-31.1, -7.8]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-23.9 [-40.4, -10.1]%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+1.7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Rx5day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-45.0 [-59.8, -13.9]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-25.2 [-39.0, -8.3]%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-10.3 [-50.2, +8.7]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-7.1 [-34.9, +6.0]%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+18.0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CDD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+0.1 [-2.4, +3.5]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+0.2 [-3.8, +5.6]%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4/7; ambiguous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+13.3 [+11.4, +18.9]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+27.9 [+24.0, +39.7]%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increase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+27.7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CWD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-1.7 [-2.5, -0.6]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-14.0 [-21.8, -6.2]%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-22.7 [-23.4, -21.0]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-70.8 [-72.9, -65.2]%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-56.8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R10mm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-18.1 [-18.5, -7.9]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-51.1 [-59.0, -22.3]%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-12.6 [-17.6, -3.4]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-40.9 [-57.5, -11.0]%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+10.2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R20mm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-8.8 [-9.9, -4.6]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-62.2 [-69.1, -29.7]%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-5.9 [-7.8, -1.1]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-49.3 [-65.3, -8.9]%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+12.8 pp; sign reversal: no; class changed: yes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R50mm†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-1.2 [-1.5, -0.6]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-68.6 [-72.3, -25.9]%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-1.4 [-1.6, -0.5]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-65.8 [-76.6, -25.5]%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+2.8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R95p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-205.9 [-241.4, -101.8]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-64.5 [-69.8, -27.7]%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7/7;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-160.5 [-202.4, -30.4]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-54.0 [-68.0, -10.2]%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+10.6 pp; sign reversal: no; class changed: no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SSP5-8.5</w:t>
              <w:br/>
              <w:t>2081–2100</w:t>
            </w:r>
          </w:p>
        </w:tc>
        <w:tc>
          <w:tcPr>
            <w:tcW w:type="dxa" w:w="835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R99p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-76.3 [-99.3, -33.8]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-62.6 [-69.0, -22.8]%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6/7; robust decrease</w:t>
            </w:r>
          </w:p>
        </w:tc>
        <w:tc>
          <w:tcPr>
            <w:tcW w:type="dxa" w:w="193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-57.2 [-78.7, -4.1]</w:t>
            </w:r>
          </w:p>
        </w:tc>
        <w:tc>
          <w:tcPr>
            <w:tcW w:type="dxa" w:w="164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-48.7 [-67.0, -3.5]%</w:t>
            </w:r>
          </w:p>
        </w:tc>
        <w:tc>
          <w:tcPr>
            <w:tcW w:type="dxa" w:w="1469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5/7; ambiguous</w:t>
            </w:r>
          </w:p>
        </w:tc>
        <w:tc>
          <w:tcPr>
            <w:tcW w:type="dxa" w:w="181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+13.9 pp; sign reversal: no; class changed: yes</w:t>
            </w:r>
          </w:p>
        </w:tc>
      </w:tr>
    </w:tbl>
    <w:p>
      <w:pPr>
        <w:keepNext w:val="0"/>
        <w:keepLines w:val="0"/>
        <w:widowControl/>
        <w:spacing w:line="240" w:lineRule="auto" w:before="0" w:after="0"/>
        <w:jc w:val="left"/>
      </w:pPr>
    </w:p>
    <w:p>
      <w:pPr>
        <w:keepNext w:val="0"/>
        <w:keepLines w:val="0"/>
        <w:widowControl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Note: </w:t>
      </w:r>
      <w:r>
        <w:rPr>
          <w:rFonts w:ascii="Times New Roman" w:hAnsi="Times New Roman" w:eastAsia="Times New Roman"/>
          <w:color w:val="000000"/>
          <w:sz w:val="16"/>
        </w:rPr>
        <w:t>Model-consistent = future supplied bias-corrected minus supplied bias-corrected historical 1995–2014; observed-reference = future supplied bias-corrected minus observed 1995–2014. Values are medians and Q1–Q3 across seven model-specific regional contrasts after equal weighting of 13 stations. “Signed native-unit change” is not an absolute magnitude. Agreement is the number of models sharing the ensemble direction; ≥6/7 is a descriptive robustness screen, not a significance test. Baseline effect is the signed observed-reference median minus the model-consistent median in percentage points. †R50mm percentages are denominator-sensitive; signed days yr⁻¹ should be prioritized.</w:t>
      </w:r>
    </w:p>
    <w:p>
      <w:pPr>
        <w:pStyle w:val="1"/>
        <w:keepNext/>
        <w:keepLines/>
        <w:widowControl/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Extended historical evaluation</w:t>
      </w:r>
    </w:p>
    <w:p>
      <w:pPr>
        <w:keepNext/>
        <w:keepLines w:val="0"/>
        <w:widowControl/>
        <w:spacing w:line="240" w:lineRule="auto" w:before="0" w:after="0"/>
        <w:jc w:val="left"/>
      </w:pPr>
      <w:r>
        <w:rPr>
          <w:rFonts w:ascii="Times New Roman" w:hAnsi="Times New Roman" w:eastAsia="Times New Roman"/>
          <w:b/>
          <w:color w:val="000000"/>
          <w:sz w:val="18"/>
        </w:rPr>
        <w:t xml:space="preserve">Table S2a. </w:t>
      </w:r>
      <w:r>
        <w:rPr>
          <w:rFonts w:ascii="Times New Roman" w:hAnsi="Times New Roman" w:eastAsia="Times New Roman"/>
          <w:color w:val="000000"/>
          <w:sz w:val="18"/>
        </w:rPr>
        <w:t>Historical performance across 91 model–station pairs, reported as median [Q1, Q3].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631"/>
        <w:gridCol w:w="1631"/>
        <w:gridCol w:w="1631"/>
        <w:gridCol w:w="1631"/>
        <w:gridCol w:w="1631"/>
        <w:gridCol w:w="1631"/>
        <w:gridCol w:w="1631"/>
        <w:gridCol w:w="1631"/>
        <w:gridCol w:w="1631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Scale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Series</w:t>
            </w:r>
          </w:p>
        </w:tc>
        <w:tc>
          <w:tcPr>
            <w:tcW w:type="dxa" w:w="6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N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r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RMSE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MAE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PBIAS (%)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NSE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KGE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Daily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Raw</w:t>
            </w:r>
          </w:p>
        </w:tc>
        <w:tc>
          <w:tcPr>
            <w:tcW w:type="dxa" w:w="6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91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0.037 [0.017, 0.063]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10.18 [7.94, 10.87]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4.02 [3.53, 4.67]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-21.9 [-59.0, -0.1]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-0.353 [-0.525, -0.190]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-0.120 [-0.261, -0.041]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Daily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Supplied bias-corrected</w:t>
            </w:r>
          </w:p>
        </w:tc>
        <w:tc>
          <w:tcPr>
            <w:tcW w:type="dxa" w:w="6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91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0.057 [0.042, 0.074]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11.84 [9.39, 13.53]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4.87 [4.17, 5.05]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-9.0 [-16.6, 7.8]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-0.968 [-1.339, -0.822]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0.012 [-0.061, 0.045]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Monthly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Raw</w:t>
            </w:r>
          </w:p>
        </w:tc>
        <w:tc>
          <w:tcPr>
            <w:tcW w:type="dxa" w:w="6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91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0.272 [0.154, 0.374]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103.98 [93.46, 112.59]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73.51 [67.07, 80.09]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-21.9 [-59.0, -0.1]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-0.308 [-0.556, -0.126]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0.162 [-0.139, 0.277]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Monthly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Supplied bias-corrected</w:t>
            </w:r>
          </w:p>
        </w:tc>
        <w:tc>
          <w:tcPr>
            <w:tcW w:type="dxa" w:w="6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91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0.441 [0.340, 0.492]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108.73 [86.33, 123.07]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69.59 [57.83, 79.24]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-9.0 [-16.6, 7.8]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-0.344 [-0.589, -0.161]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0.385 [0.267, 0.446]</w:t>
            </w:r>
          </w:p>
        </w:tc>
      </w:tr>
    </w:tbl>
    <w:p>
      <w:pPr>
        <w:keepNext w:val="0"/>
        <w:keepLines w:val="0"/>
        <w:widowControl/>
        <w:spacing w:line="240" w:lineRule="auto" w:before="0" w:after="0"/>
        <w:jc w:val="left"/>
      </w:pPr>
    </w:p>
    <w:p>
      <w:pPr>
        <w:keepNext w:val="0"/>
        <w:keepLines w:val="0"/>
        <w:widowControl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Note: </w:t>
      </w:r>
      <w:r>
        <w:rPr>
          <w:rFonts w:ascii="Times New Roman" w:hAnsi="Times New Roman" w:eastAsia="Times New Roman"/>
          <w:color w:val="000000"/>
          <w:sz w:val="16"/>
        </w:rPr>
        <w:t>Daily RMSE and MAE are in mm d⁻¹; monthly RMSE and MAE are in mm month⁻¹. Daily records contain 12,410 or 12,418 model-specific days; monthly records contain 408 months. Daily and monthly PBIAS derive from the same accumulated rainfall and are not independent evidence.</w:t>
      </w:r>
    </w:p>
    <w:p>
      <w:pPr>
        <w:keepNext/>
        <w:keepLines w:val="0"/>
        <w:widowControl/>
        <w:spacing w:line="240" w:lineRule="auto" w:before="0" w:after="0"/>
        <w:jc w:val="left"/>
      </w:pPr>
      <w:r>
        <w:rPr>
          <w:rFonts w:ascii="Times New Roman" w:hAnsi="Times New Roman" w:eastAsia="Times New Roman"/>
          <w:b/>
          <w:color w:val="000000"/>
          <w:sz w:val="18"/>
        </w:rPr>
        <w:t xml:space="preserve">Table S2b. </w:t>
      </w:r>
      <w:r>
        <w:rPr>
          <w:rFonts w:ascii="Times New Roman" w:hAnsi="Times New Roman" w:eastAsia="Times New Roman"/>
          <w:color w:val="000000"/>
          <w:sz w:val="18"/>
        </w:rPr>
        <w:t>Paired model–station changes after correction relative to raw series.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936"/>
        <w:gridCol w:w="2936"/>
        <w:gridCol w:w="2936"/>
        <w:gridCol w:w="2936"/>
        <w:gridCol w:w="2936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Scale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Lower RMSE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Lower |PBIAS|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Higher r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Higher KGE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Daily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8/91 (8.8%)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61/91 (67.0%)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72/91 (79.1%)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78/91 (85.7%)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Monthly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40/91 (44.0%)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61/91 (67.0%)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74/91 (81.3%)</w:t>
            </w:r>
          </w:p>
        </w:tc>
        <w:tc>
          <w:tcPr>
            <w:tcW w:type="dxa" w:w="288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78/91 (85.7%)</w:t>
            </w:r>
          </w:p>
        </w:tc>
      </w:tr>
    </w:tbl>
    <w:p>
      <w:pPr>
        <w:keepNext w:val="0"/>
        <w:keepLines w:val="0"/>
        <w:widowControl/>
        <w:spacing w:line="240" w:lineRule="auto" w:before="0" w:after="0"/>
        <w:jc w:val="left"/>
      </w:pPr>
    </w:p>
    <w:p>
      <w:pPr>
        <w:keepNext w:val="0"/>
        <w:keepLines w:val="0"/>
        <w:widowControl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Note: </w:t>
      </w:r>
      <w:r>
        <w:rPr>
          <w:rFonts w:ascii="Times New Roman" w:hAnsi="Times New Roman" w:eastAsia="Times New Roman"/>
          <w:color w:val="000000"/>
          <w:sz w:val="16"/>
        </w:rPr>
        <w:t>These fractions are paired correction-versus-raw comparisons. Improvement in one metric does not imply overall improvement; RMSE increased for most daily pairs, and median NSE remained negative.</w:t>
      </w:r>
    </w:p>
    <w:p>
      <w:pPr>
        <w:keepNext/>
        <w:keepLines w:val="0"/>
        <w:widowControl/>
        <w:spacing w:line="240" w:lineRule="auto" w:before="0" w:after="0"/>
        <w:jc w:val="left"/>
      </w:pPr>
      <w:r>
        <w:rPr>
          <w:rFonts w:ascii="Times New Roman" w:hAnsi="Times New Roman" w:eastAsia="Times New Roman"/>
          <w:b/>
          <w:color w:val="000000"/>
          <w:sz w:val="18"/>
        </w:rPr>
        <w:t xml:space="preserve">Table S3. </w:t>
      </w:r>
      <w:r>
        <w:rPr>
          <w:rFonts w:ascii="Times New Roman" w:hAnsi="Times New Roman" w:eastAsia="Times New Roman"/>
          <w:color w:val="000000"/>
          <w:sz w:val="18"/>
        </w:rPr>
        <w:t>Residual historical bias of supplied corrected series relative to observations, 1995–2014.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447"/>
        <w:gridCol w:w="2447"/>
        <w:gridCol w:w="2447"/>
        <w:gridCol w:w="2447"/>
        <w:gridCol w:w="2447"/>
        <w:gridCol w:w="2447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Index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Unit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Median signed regional difference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Median regional bias (%)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Q1–Q3 regional bias (%)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Maximum absolute regional bias (%)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PRCPTOT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mm yr⁻¹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-59.84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-5.3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-10.1 to +0.8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17.3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SDII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mm wet-day⁻¹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+1.87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+18.0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+16.0 to +20.6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22.0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Rx1day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mm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-6.32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-8.2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-12.6 to -1.7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16.3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Rx5day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mm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+21.18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+14.7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+11.6 to +20.1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24.1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CDD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days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+14.12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+29.6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+27.0 to +31.1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35.0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CWD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days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-20.60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-64.1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-67.1 to -62.9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70.2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R10mm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days yr⁻¹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+3.72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+12.1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+5.5 to +19.2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21.4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R20mm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days yr⁻¹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+3.58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+29.8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+18.8 to +35.0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39.6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R50mm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days yr⁻¹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-0.05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-2.3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-8.6 to +8.4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21.8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R95p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mm yr⁻¹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+65.68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+22.1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+12.7 to +30.3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33.9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R99p</w:t>
            </w:r>
          </w:p>
        </w:tc>
        <w:tc>
          <w:tcPr>
            <w:tcW w:type="dxa" w:w="172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mm yr⁻¹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+24.34</w:t>
            </w:r>
          </w:p>
        </w:tc>
        <w:tc>
          <w:tcPr>
            <w:tcW w:type="dxa" w:w="208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+20.7</w:t>
            </w:r>
          </w:p>
        </w:tc>
        <w:tc>
          <w:tcPr>
            <w:tcW w:type="dxa" w:w="244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+14.3 to +34.3</w:t>
            </w:r>
          </w:p>
        </w:tc>
        <w:tc>
          <w:tcPr>
            <w:tcW w:type="dxa" w:w="259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37.5</w:t>
            </w:r>
          </w:p>
        </w:tc>
      </w:tr>
    </w:tbl>
    <w:p>
      <w:pPr>
        <w:keepNext w:val="0"/>
        <w:keepLines w:val="0"/>
        <w:widowControl/>
        <w:spacing w:line="240" w:lineRule="auto" w:before="0" w:after="0"/>
        <w:jc w:val="left"/>
      </w:pPr>
    </w:p>
    <w:p>
      <w:pPr>
        <w:keepNext w:val="0"/>
        <w:keepLines w:val="0"/>
        <w:widowControl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Note: </w:t>
      </w:r>
      <w:r>
        <w:rPr>
          <w:rFonts w:ascii="Times New Roman" w:hAnsi="Times New Roman" w:eastAsia="Times New Roman"/>
          <w:color w:val="000000"/>
          <w:sz w:val="16"/>
        </w:rPr>
        <w:t>For each model, 1995–2014 annual index means were calculated by station, the 13 stations were equally averaged to a regional value, and corrected-minus-observed bias was then calculated. The table summarizes these seven model-level regional biases. The signed regional difference is expressed in the index's native unit; it is not an absolute magnitude. The maximum absolute percentage is across seven regional model values, not across stations.</w:t>
      </w:r>
    </w:p>
    <w:p>
      <w:pPr>
        <w:pStyle w:val="1"/>
        <w:keepNext/>
        <w:keepLines/>
        <w:widowControl/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Supplementary Note S1. Trend-test null diagnostic</w:t>
      </w:r>
    </w:p>
    <w:p>
      <w:pPr>
        <w:keepNext w:val="0"/>
        <w:keepLines w:val="0"/>
        <w:widowControl/>
        <w:spacing w:line="480" w:lineRule="auto" w:before="0" w:after="0"/>
        <w:jc w:val="both"/>
      </w:pPr>
      <w:r>
        <w:rPr>
          <w:rFonts w:ascii="Times New Roman" w:hAnsi="Times New Roman" w:eastAsia="Times New Roman"/>
          <w:color w:val="000000"/>
          <w:sz w:val="20"/>
        </w:rPr>
        <w:t>The supplied trend module included a diagnostic self-test under AR(1) dependence. Its TFPW-MK false-positive fraction was 0.383 at nominal α = 0.05. An independent audit of the previously supplied implementation used 2,000 AR(1) null series of length 20 with lag-1 coefficient 0.6 and seed 20260829; all three empirical false-positive fractions remained well above 0.05 (Table S4). These results falsify confirmatory type-I error control for the archived trend p-values, which were therefore excluded from the manuscript.</w:t>
      </w:r>
    </w:p>
    <w:p>
      <w:pPr>
        <w:keepNext/>
        <w:keepLines w:val="0"/>
        <w:widowControl/>
        <w:spacing w:line="240" w:lineRule="auto" w:before="0" w:after="0"/>
        <w:jc w:val="left"/>
      </w:pPr>
      <w:r>
        <w:rPr>
          <w:rFonts w:ascii="Times New Roman" w:hAnsi="Times New Roman" w:eastAsia="Times New Roman"/>
          <w:b/>
          <w:color w:val="000000"/>
          <w:sz w:val="18"/>
        </w:rPr>
        <w:t xml:space="preserve">Table S4. </w:t>
      </w:r>
      <w:r>
        <w:rPr>
          <w:rFonts w:ascii="Times New Roman" w:hAnsi="Times New Roman" w:eastAsia="Times New Roman"/>
          <w:color w:val="000000"/>
          <w:sz w:val="18"/>
        </w:rPr>
        <w:t>Empirical false-positive fractions from supplied and independent null diagnostics.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35"/>
        <w:gridCol w:w="1835"/>
        <w:gridCol w:w="1835"/>
        <w:gridCol w:w="1835"/>
        <w:gridCol w:w="1835"/>
        <w:gridCol w:w="1835"/>
        <w:gridCol w:w="1835"/>
        <w:gridCol w:w="1835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Audit source</w:t>
            </w:r>
          </w:p>
        </w:tc>
        <w:tc>
          <w:tcPr>
            <w:tcW w:type="dxa" w:w="180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Test</w:t>
            </w:r>
          </w:p>
        </w:tc>
        <w:tc>
          <w:tcPr>
            <w:tcW w:type="dxa" w:w="100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n</w:t>
            </w:r>
          </w:p>
        </w:tc>
        <w:tc>
          <w:tcPr>
            <w:tcW w:type="dxa" w:w="115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AR(1) φ</w:t>
            </w:r>
          </w:p>
        </w:tc>
        <w:tc>
          <w:tcPr>
            <w:tcW w:type="dxa" w:w="165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Replicates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Seed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Nominal α</w:t>
            </w:r>
          </w:p>
        </w:tc>
        <w:tc>
          <w:tcPr>
            <w:tcW w:type="dxa" w:w="201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D9EAF7"/>
            <w:tcBorders>
              <w:bottom w:val="single" w:sz="6" w:space="0" w:color="000000"/>
            </w:tcBorders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False-positive fraction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Supplied self-test</w:t>
            </w:r>
          </w:p>
        </w:tc>
        <w:tc>
          <w:tcPr>
            <w:tcW w:type="dxa" w:w="180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TFPW-MK</w:t>
            </w:r>
          </w:p>
        </w:tc>
        <w:tc>
          <w:tcPr>
            <w:tcW w:type="dxa" w:w="100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not recorded</w:t>
            </w:r>
          </w:p>
        </w:tc>
        <w:tc>
          <w:tcPr>
            <w:tcW w:type="dxa" w:w="115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5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not recorded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not recorded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0.05</w:t>
            </w:r>
          </w:p>
        </w:tc>
        <w:tc>
          <w:tcPr>
            <w:tcW w:type="dxa" w:w="201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0.3830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Independent audit</w:t>
            </w:r>
          </w:p>
        </w:tc>
        <w:tc>
          <w:tcPr>
            <w:tcW w:type="dxa" w:w="180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MK</w:t>
            </w:r>
          </w:p>
        </w:tc>
        <w:tc>
          <w:tcPr>
            <w:tcW w:type="dxa" w:w="100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5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2,000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20260829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0.05</w:t>
            </w:r>
          </w:p>
        </w:tc>
        <w:tc>
          <w:tcPr>
            <w:tcW w:type="dxa" w:w="201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0.2245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Independent audit</w:t>
            </w:r>
          </w:p>
        </w:tc>
        <w:tc>
          <w:tcPr>
            <w:tcW w:type="dxa" w:w="180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Hamed-Rao</w:t>
            </w:r>
          </w:p>
        </w:tc>
        <w:tc>
          <w:tcPr>
            <w:tcW w:type="dxa" w:w="100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5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2,000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20260829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0.05</w:t>
            </w:r>
          </w:p>
        </w:tc>
        <w:tc>
          <w:tcPr>
            <w:tcW w:type="dxa" w:w="201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0.2270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Independent audit</w:t>
            </w:r>
          </w:p>
        </w:tc>
        <w:tc>
          <w:tcPr>
            <w:tcW w:type="dxa" w:w="180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TFPW-MK</w:t>
            </w:r>
          </w:p>
        </w:tc>
        <w:tc>
          <w:tcPr>
            <w:tcW w:type="dxa" w:w="1008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5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2,000</w:t>
            </w:r>
          </w:p>
        </w:tc>
        <w:tc>
          <w:tcPr>
            <w:tcW w:type="dxa" w:w="1872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20260829</w:t>
            </w:r>
          </w:p>
        </w:tc>
        <w:tc>
          <w:tcPr>
            <w:tcW w:type="dxa" w:w="1440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0.05</w:t>
            </w:r>
          </w:p>
        </w:tc>
        <w:tc>
          <w:tcPr>
            <w:tcW w:type="dxa" w:w="2016"/>
            <w:vAlign w:val="center"/>
            <w:tcMar>
              <w:top w:w="24" w:type="dxa"/>
              <w:start w:w="34" w:type="dxa"/>
              <w:bottom w:w="24" w:type="dxa"/>
              <w:end w:w="34" w:type="dxa"/>
            </w:tcMar>
            <w:shd w:fill="F5F5F5"/>
          </w:tcPr>
          <w:p>
            <w:pPr>
              <w:keepNext w:val="0"/>
              <w:keepLines/>
              <w:widowControl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0.2665</w:t>
            </w:r>
          </w:p>
        </w:tc>
      </w:tr>
    </w:tbl>
    <w:p>
      <w:pPr>
        <w:keepNext w:val="0"/>
        <w:keepLines w:val="0"/>
        <w:widowControl/>
        <w:spacing w:line="240" w:lineRule="auto" w:before="0" w:after="0"/>
        <w:jc w:val="left"/>
      </w:pPr>
    </w:p>
    <w:p>
      <w:pPr>
        <w:keepNext w:val="0"/>
        <w:keepLines w:val="0"/>
        <w:widowControl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Note: </w:t>
      </w:r>
      <w:r>
        <w:rPr>
          <w:rFonts w:ascii="Times New Roman" w:hAnsi="Times New Roman" w:eastAsia="Times New Roman"/>
          <w:color w:val="000000"/>
          <w:sz w:val="16"/>
        </w:rPr>
        <w:t>The archived JSON records n, φ, replicates, seed, α, and empirical fractions but not the innovation distribution, initialization/burn-in, sidedness, or all implementation details. This is therefore a diagnostic falsification/quality-assurance exercise rather than a fully reproducible Monte Carlo study.</w:t>
      </w:r>
    </w:p>
    <w:sectPr w:rsidR="00A83853" w:rsidRPr="00F22CD4" w:rsidSect="00351F98">
      <w:pgSz w:w="16840" w:h="11907" w:code="9" w:orient="landscape"/>
      <w:pgMar w:top="936" w:right="1080" w:bottom="936" w:left="1080" w:header="432" w:footer="504" w:gutter="0"/>
      <w:cols w:space="27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4924D" w14:textId="77777777" w:rsidR="00F52BB2" w:rsidRDefault="00F52BB2" w:rsidP="00C46F10">
      <w:pPr>
        <w:spacing w:line="240" w:lineRule="auto"/>
      </w:pPr>
      <w:r>
        <w:separator/>
      </w:r>
    </w:p>
  </w:endnote>
  <w:endnote w:type="continuationSeparator" w:id="0">
    <w:p w14:paraId="01B070F0" w14:textId="77777777" w:rsidR="00F52BB2" w:rsidRDefault="00F52BB2" w:rsidP="00C46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 R 1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명조120">
    <w:altName w:val="Batang"/>
    <w:charset w:val="81"/>
    <w:family w:val="roman"/>
    <w:pitch w:val="variable"/>
    <w:sig w:usb0="00000000" w:usb1="29D77CFB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73061" w14:textId="77777777" w:rsidR="00F52BB2" w:rsidRDefault="00F52BB2" w:rsidP="00C46F10">
      <w:pPr>
        <w:spacing w:line="240" w:lineRule="auto"/>
      </w:pPr>
      <w:r>
        <w:separator/>
      </w:r>
    </w:p>
  </w:footnote>
  <w:footnote w:type="continuationSeparator" w:id="0">
    <w:p w14:paraId="0E1D5B0C" w14:textId="77777777" w:rsidR="00F52BB2" w:rsidRDefault="00F52BB2" w:rsidP="00C46F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790908"/>
      <w:docPartObj>
        <w:docPartGallery w:val="Page Numbers (Top of Page)"/>
        <w:docPartUnique/>
      </w:docPartObj>
    </w:sdtPr>
    <w:sdtContent>
      <w:p w14:paraId="38AD82B5" w14:textId="19E2EA5E" w:rsidR="007C59D2" w:rsidRDefault="007C59D2">
        <w:pPr>
          <w:pStyle w:val="a4"/>
          <w:jc w:val="right"/>
        </w:pPr>
        <w:r w:rsidRPr="00C70E33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70E33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C70E33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9D3815" w:rsidRPr="009D3815">
          <w:rPr>
            <w:rFonts w:ascii="Times New Roman" w:hAnsi="Times New Roman" w:cs="Times New Roman"/>
            <w:noProof/>
            <w:sz w:val="20"/>
            <w:szCs w:val="20"/>
            <w:lang w:val="th-TH"/>
          </w:rPr>
          <w:t>2</w:t>
        </w:r>
        <w:r w:rsidRPr="00C70E33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5D35F6E3" w14:textId="77777777" w:rsidR="007C59D2" w:rsidRDefault="007C59D2">
    <w:pPr>
      <w:pStyle w:val="a4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17985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886F863" w14:textId="171BAB49" w:rsidR="00351F98" w:rsidRDefault="00351F98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630C5C" w14:textId="77777777" w:rsidR="007C59D2" w:rsidRDefault="007C59D2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87972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4D97FE18" w14:textId="3E653E6D" w:rsidR="00882F53" w:rsidRPr="00754AF5" w:rsidRDefault="00882F53">
        <w:pPr>
          <w:pStyle w:val="a4"/>
          <w:jc w:val="right"/>
          <w:rPr>
            <w:rFonts w:ascii="Times New Roman" w:hAnsi="Times New Roman" w:cs="Times New Roman"/>
            <w:sz w:val="20"/>
            <w:szCs w:val="20"/>
          </w:rPr>
        </w:pPr>
        <w:r w:rsidRPr="00754AF5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754AF5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754AF5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9D3815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754AF5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0EB"/>
    <w:multiLevelType w:val="hybridMultilevel"/>
    <w:tmpl w:val="D49E40A4"/>
    <w:lvl w:ilvl="0" w:tplc="647C80C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5466"/>
    <w:multiLevelType w:val="hybridMultilevel"/>
    <w:tmpl w:val="27762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D5208D"/>
    <w:multiLevelType w:val="multilevel"/>
    <w:tmpl w:val="035E8F8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7600173"/>
    <w:multiLevelType w:val="hybridMultilevel"/>
    <w:tmpl w:val="B0564310"/>
    <w:lvl w:ilvl="0" w:tplc="397C9A40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12563"/>
    <w:multiLevelType w:val="hybridMultilevel"/>
    <w:tmpl w:val="A61C318A"/>
    <w:lvl w:ilvl="0" w:tplc="647C80C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74C6C"/>
    <w:multiLevelType w:val="hybridMultilevel"/>
    <w:tmpl w:val="1980B954"/>
    <w:lvl w:ilvl="0" w:tplc="763C780E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2E5AB5"/>
    <w:multiLevelType w:val="hybridMultilevel"/>
    <w:tmpl w:val="62CE0898"/>
    <w:lvl w:ilvl="0" w:tplc="0F6E2B0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27CC6D2A"/>
    <w:multiLevelType w:val="multilevel"/>
    <w:tmpl w:val="74A2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83E63"/>
    <w:multiLevelType w:val="hybridMultilevel"/>
    <w:tmpl w:val="F4340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80A14"/>
    <w:multiLevelType w:val="hybridMultilevel"/>
    <w:tmpl w:val="A28672A0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0" w15:restartNumberingAfterBreak="0">
    <w:nsid w:val="2E912716"/>
    <w:multiLevelType w:val="hybridMultilevel"/>
    <w:tmpl w:val="587A9680"/>
    <w:lvl w:ilvl="0" w:tplc="647C80C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3C4FC7"/>
    <w:multiLevelType w:val="hybridMultilevel"/>
    <w:tmpl w:val="B9AA2E18"/>
    <w:lvl w:ilvl="0" w:tplc="0098275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763C16"/>
    <w:multiLevelType w:val="hybridMultilevel"/>
    <w:tmpl w:val="D03E8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CA1"/>
    <w:multiLevelType w:val="hybridMultilevel"/>
    <w:tmpl w:val="74381A5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39AD6EB5"/>
    <w:multiLevelType w:val="multilevel"/>
    <w:tmpl w:val="DA5210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D0772D9"/>
    <w:multiLevelType w:val="hybridMultilevel"/>
    <w:tmpl w:val="6FEC30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4E61FB"/>
    <w:multiLevelType w:val="hybridMultilevel"/>
    <w:tmpl w:val="7DEA02D6"/>
    <w:lvl w:ilvl="0" w:tplc="4A00530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CD6825"/>
    <w:multiLevelType w:val="hybridMultilevel"/>
    <w:tmpl w:val="D0609DB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855B1"/>
    <w:multiLevelType w:val="multilevel"/>
    <w:tmpl w:val="65D4EC2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7E7170"/>
    <w:multiLevelType w:val="multilevel"/>
    <w:tmpl w:val="859E6656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240" w:hanging="240"/>
      </w:p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720" w:hanging="24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960" w:hanging="240"/>
      </w:p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200" w:hanging="240"/>
      </w:p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440" w:hanging="2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680" w:hanging="240"/>
      </w:p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1920" w:hanging="240"/>
      </w:p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160" w:hanging="240"/>
      </w:pPr>
    </w:lvl>
  </w:abstractNum>
  <w:abstractNum w:abstractNumId="20" w15:restartNumberingAfterBreak="0">
    <w:nsid w:val="53A1184A"/>
    <w:multiLevelType w:val="hybridMultilevel"/>
    <w:tmpl w:val="9C865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6B56EC"/>
    <w:multiLevelType w:val="hybridMultilevel"/>
    <w:tmpl w:val="A93C00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B5CEA"/>
    <w:multiLevelType w:val="multilevel"/>
    <w:tmpl w:val="D89C5544"/>
    <w:lvl w:ilvl="0">
      <w:start w:val="1"/>
      <w:numFmt w:val="none"/>
      <w:pStyle w:val="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56205803"/>
    <w:multiLevelType w:val="multilevel"/>
    <w:tmpl w:val="3F6EB704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  <w:rPr>
        <w:rFonts w:hint="default"/>
        <w:lang w:bidi="th-TH"/>
      </w:r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  <w:rPr>
        <w:rFonts w:ascii="Cordia New" w:hAnsi="Cordia New" w:cs="Cordia New" w:hint="default"/>
        <w:sz w:val="28"/>
        <w:szCs w:val="28"/>
      </w:r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  <w:rPr>
        <w:rFonts w:ascii="Cordia New" w:hAnsi="Cordia New" w:cs="Cordia New" w:hint="default"/>
        <w:sz w:val="28"/>
        <w:szCs w:val="28"/>
      </w:r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9EC0AFD"/>
    <w:multiLevelType w:val="multilevel"/>
    <w:tmpl w:val="8B3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34F65"/>
    <w:multiLevelType w:val="hybridMultilevel"/>
    <w:tmpl w:val="F1FAA4C2"/>
    <w:lvl w:ilvl="0" w:tplc="57140A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27730E"/>
    <w:multiLevelType w:val="hybridMultilevel"/>
    <w:tmpl w:val="4B846718"/>
    <w:lvl w:ilvl="0" w:tplc="79B0B8B4">
      <w:start w:val="1"/>
      <w:numFmt w:val="decimal"/>
      <w:lvlText w:val="[%1]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761D4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1078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8C49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0360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96B67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98647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AC082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2653F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5618F1"/>
    <w:multiLevelType w:val="hybridMultilevel"/>
    <w:tmpl w:val="2264A65E"/>
    <w:lvl w:ilvl="0" w:tplc="647C80C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E5D60"/>
    <w:multiLevelType w:val="hybridMultilevel"/>
    <w:tmpl w:val="DE389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971418"/>
    <w:multiLevelType w:val="hybridMultilevel"/>
    <w:tmpl w:val="49B6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9030F2"/>
    <w:multiLevelType w:val="hybridMultilevel"/>
    <w:tmpl w:val="DC88E8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EC7AB5"/>
    <w:multiLevelType w:val="multilevel"/>
    <w:tmpl w:val="68FAC94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FF131C4"/>
    <w:multiLevelType w:val="hybridMultilevel"/>
    <w:tmpl w:val="F41EE728"/>
    <w:lvl w:ilvl="0" w:tplc="647C80C8">
      <w:start w:val="1"/>
      <w:numFmt w:val="decimal"/>
      <w:lvlText w:val="[%1]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3" w15:restartNumberingAfterBreak="0">
    <w:nsid w:val="70704E89"/>
    <w:multiLevelType w:val="multilevel"/>
    <w:tmpl w:val="D0B67C7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pStyle w:val="5"/>
      <w:lvlText w:val="RECOMMENDATION: "/>
      <w:lvlJc w:val="left"/>
      <w:pPr>
        <w:tabs>
          <w:tab w:val="num" w:pos="0"/>
        </w:tabs>
        <w:ind w:left="0" w:firstLine="0"/>
      </w:pPr>
      <w:rPr>
        <w:rFonts w:hint="default"/>
        <w:b w:val="0"/>
        <w:i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955799B"/>
    <w:multiLevelType w:val="multilevel"/>
    <w:tmpl w:val="A96E5ED2"/>
    <w:lvl w:ilvl="0">
      <w:start w:val="1"/>
      <w:numFmt w:val="decimal"/>
      <w:lvlText w:val="%1."/>
      <w:lvlJc w:val="left"/>
      <w:pPr>
        <w:tabs>
          <w:tab w:val="num" w:pos="360"/>
        </w:tabs>
        <w:ind w:left="240" w:hanging="240"/>
      </w:pPr>
      <w:rPr>
        <w:rFonts w:ascii="Cordia New" w:hAnsi="Cordia New" w:cs="Cordia New" w:hint="default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  <w:rPr>
        <w:rFonts w:ascii="Cordia New" w:hAnsi="Cordia New" w:cs="Cordia New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720" w:hanging="2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960" w:hanging="2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1200" w:hanging="2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1440" w:hanging="2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1680" w:hanging="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1920" w:hanging="240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3360"/>
        </w:tabs>
        <w:ind w:left="2160" w:hanging="240"/>
      </w:pPr>
      <w:rPr>
        <w:rFonts w:hint="default"/>
      </w:rPr>
    </w:lvl>
  </w:abstractNum>
  <w:abstractNum w:abstractNumId="35" w15:restartNumberingAfterBreak="0">
    <w:nsid w:val="7D7259AC"/>
    <w:multiLevelType w:val="hybridMultilevel"/>
    <w:tmpl w:val="CECAA638"/>
    <w:lvl w:ilvl="0" w:tplc="C6D0BCC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DD5F43"/>
    <w:multiLevelType w:val="multilevel"/>
    <w:tmpl w:val="F4669266"/>
    <w:lvl w:ilvl="0">
      <w:start w:val="1"/>
      <w:numFmt w:val="decimal"/>
      <w:lvlText w:val="%1."/>
      <w:lvlJc w:val="left"/>
      <w:pPr>
        <w:tabs>
          <w:tab w:val="num" w:pos="360"/>
        </w:tabs>
        <w:ind w:left="240" w:hanging="240"/>
      </w:pPr>
      <w:rPr>
        <w:rFonts w:ascii="Cordia New" w:hAnsi="Cordia New" w:cs="Cordia New" w:hint="default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  <w:rPr>
        <w:rFonts w:ascii="Cordia New" w:hAnsi="Cordia New" w:cs="Cordia New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720" w:hanging="2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960" w:hanging="2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1200" w:hanging="2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1440" w:hanging="2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1680" w:hanging="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1920" w:hanging="240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3360"/>
        </w:tabs>
        <w:ind w:left="2160" w:hanging="240"/>
      </w:pPr>
      <w:rPr>
        <w:rFonts w:hint="default"/>
      </w:rPr>
    </w:lvl>
  </w:abstractNum>
  <w:num w:numId="1" w16cid:durableId="1983197149">
    <w:abstractNumId w:val="23"/>
  </w:num>
  <w:num w:numId="2" w16cid:durableId="2023312995">
    <w:abstractNumId w:val="19"/>
  </w:num>
  <w:num w:numId="3" w16cid:durableId="1788697111">
    <w:abstractNumId w:val="36"/>
  </w:num>
  <w:num w:numId="4" w16cid:durableId="616911710">
    <w:abstractNumId w:val="31"/>
  </w:num>
  <w:num w:numId="5" w16cid:durableId="1622103233">
    <w:abstractNumId w:val="14"/>
  </w:num>
  <w:num w:numId="6" w16cid:durableId="1835028732">
    <w:abstractNumId w:val="18"/>
  </w:num>
  <w:num w:numId="7" w16cid:durableId="1782139443">
    <w:abstractNumId w:val="34"/>
  </w:num>
  <w:num w:numId="8" w16cid:durableId="525027144">
    <w:abstractNumId w:val="25"/>
  </w:num>
  <w:num w:numId="9" w16cid:durableId="450830837">
    <w:abstractNumId w:val="19"/>
  </w:num>
  <w:num w:numId="10" w16cid:durableId="794718014">
    <w:abstractNumId w:val="8"/>
  </w:num>
  <w:num w:numId="11" w16cid:durableId="1339111902">
    <w:abstractNumId w:val="9"/>
  </w:num>
  <w:num w:numId="12" w16cid:durableId="1821769869">
    <w:abstractNumId w:val="17"/>
  </w:num>
  <w:num w:numId="13" w16cid:durableId="953708914">
    <w:abstractNumId w:val="28"/>
  </w:num>
  <w:num w:numId="14" w16cid:durableId="2111773352">
    <w:abstractNumId w:val="12"/>
  </w:num>
  <w:num w:numId="15" w16cid:durableId="74863164">
    <w:abstractNumId w:val="0"/>
  </w:num>
  <w:num w:numId="16" w16cid:durableId="1158887510">
    <w:abstractNumId w:val="33"/>
  </w:num>
  <w:num w:numId="17" w16cid:durableId="904529895">
    <w:abstractNumId w:val="20"/>
  </w:num>
  <w:num w:numId="18" w16cid:durableId="1098873344">
    <w:abstractNumId w:val="11"/>
  </w:num>
  <w:num w:numId="19" w16cid:durableId="774325207">
    <w:abstractNumId w:val="2"/>
  </w:num>
  <w:num w:numId="20" w16cid:durableId="234360154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84204134">
    <w:abstractNumId w:val="16"/>
  </w:num>
  <w:num w:numId="22" w16cid:durableId="1201946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67494562">
    <w:abstractNumId w:val="5"/>
  </w:num>
  <w:num w:numId="24" w16cid:durableId="680738917">
    <w:abstractNumId w:val="30"/>
  </w:num>
  <w:num w:numId="25" w16cid:durableId="420684477">
    <w:abstractNumId w:val="1"/>
  </w:num>
  <w:num w:numId="26" w16cid:durableId="1909726702">
    <w:abstractNumId w:val="10"/>
  </w:num>
  <w:num w:numId="27" w16cid:durableId="813181994">
    <w:abstractNumId w:val="35"/>
  </w:num>
  <w:num w:numId="28" w16cid:durableId="61217374">
    <w:abstractNumId w:val="21"/>
  </w:num>
  <w:num w:numId="29" w16cid:durableId="1691058130">
    <w:abstractNumId w:val="27"/>
  </w:num>
  <w:num w:numId="30" w16cid:durableId="280231963">
    <w:abstractNumId w:val="29"/>
  </w:num>
  <w:num w:numId="31" w16cid:durableId="1090929608">
    <w:abstractNumId w:val="32"/>
  </w:num>
  <w:num w:numId="32" w16cid:durableId="866330967">
    <w:abstractNumId w:val="4"/>
  </w:num>
  <w:num w:numId="33" w16cid:durableId="133834387">
    <w:abstractNumId w:val="3"/>
  </w:num>
  <w:num w:numId="34" w16cid:durableId="170340413">
    <w:abstractNumId w:val="26"/>
  </w:num>
  <w:num w:numId="35" w16cid:durableId="1234587620">
    <w:abstractNumId w:val="6"/>
  </w:num>
  <w:num w:numId="36" w16cid:durableId="1542594982">
    <w:abstractNumId w:val="13"/>
  </w:num>
  <w:num w:numId="37" w16cid:durableId="736900069">
    <w:abstractNumId w:val="22"/>
  </w:num>
  <w:num w:numId="38" w16cid:durableId="106891430">
    <w:abstractNumId w:val="33"/>
  </w:num>
  <w:num w:numId="39" w16cid:durableId="1640845007">
    <w:abstractNumId w:val="7"/>
  </w:num>
  <w:num w:numId="40" w16cid:durableId="16958819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MxtTAwMDUyNTQ1NDJT0lEKTi0uzszPAykwrAUA4oGMhiwAAAA="/>
  </w:docVars>
  <w:rsids>
    <w:rsidRoot w:val="00C46F10"/>
    <w:rsid w:val="0000136A"/>
    <w:rsid w:val="000015DA"/>
    <w:rsid w:val="0000192C"/>
    <w:rsid w:val="000043BD"/>
    <w:rsid w:val="00004F17"/>
    <w:rsid w:val="00004FE5"/>
    <w:rsid w:val="0000661F"/>
    <w:rsid w:val="00006FEE"/>
    <w:rsid w:val="00010B38"/>
    <w:rsid w:val="00014369"/>
    <w:rsid w:val="00015871"/>
    <w:rsid w:val="0002067B"/>
    <w:rsid w:val="00020DEA"/>
    <w:rsid w:val="000237D5"/>
    <w:rsid w:val="00023B3D"/>
    <w:rsid w:val="00024F33"/>
    <w:rsid w:val="00026253"/>
    <w:rsid w:val="000262B8"/>
    <w:rsid w:val="00026516"/>
    <w:rsid w:val="00027206"/>
    <w:rsid w:val="00027E19"/>
    <w:rsid w:val="00027E1D"/>
    <w:rsid w:val="000308D2"/>
    <w:rsid w:val="0003336B"/>
    <w:rsid w:val="0003612C"/>
    <w:rsid w:val="000409DC"/>
    <w:rsid w:val="00041779"/>
    <w:rsid w:val="0004243F"/>
    <w:rsid w:val="00044FFC"/>
    <w:rsid w:val="00046CD8"/>
    <w:rsid w:val="00050169"/>
    <w:rsid w:val="00050FAB"/>
    <w:rsid w:val="0006164D"/>
    <w:rsid w:val="000625E3"/>
    <w:rsid w:val="00062CB6"/>
    <w:rsid w:val="00064425"/>
    <w:rsid w:val="00064B86"/>
    <w:rsid w:val="0006657A"/>
    <w:rsid w:val="00067FD9"/>
    <w:rsid w:val="00072128"/>
    <w:rsid w:val="00072EB8"/>
    <w:rsid w:val="00073F93"/>
    <w:rsid w:val="000748C3"/>
    <w:rsid w:val="0007732F"/>
    <w:rsid w:val="00080E91"/>
    <w:rsid w:val="00082ED4"/>
    <w:rsid w:val="000834BE"/>
    <w:rsid w:val="000838F5"/>
    <w:rsid w:val="000849B6"/>
    <w:rsid w:val="00084C10"/>
    <w:rsid w:val="00084F32"/>
    <w:rsid w:val="00087BD7"/>
    <w:rsid w:val="00090691"/>
    <w:rsid w:val="0009154E"/>
    <w:rsid w:val="00095EFC"/>
    <w:rsid w:val="00096950"/>
    <w:rsid w:val="0009698B"/>
    <w:rsid w:val="000A2A02"/>
    <w:rsid w:val="000A3E63"/>
    <w:rsid w:val="000A57F8"/>
    <w:rsid w:val="000A6C86"/>
    <w:rsid w:val="000A7D55"/>
    <w:rsid w:val="000B20B9"/>
    <w:rsid w:val="000B424E"/>
    <w:rsid w:val="000B4C87"/>
    <w:rsid w:val="000B61A3"/>
    <w:rsid w:val="000B6B05"/>
    <w:rsid w:val="000B708A"/>
    <w:rsid w:val="000B7CDA"/>
    <w:rsid w:val="000C1AFD"/>
    <w:rsid w:val="000C340C"/>
    <w:rsid w:val="000C4010"/>
    <w:rsid w:val="000C536D"/>
    <w:rsid w:val="000C6D0C"/>
    <w:rsid w:val="000C74BB"/>
    <w:rsid w:val="000D0820"/>
    <w:rsid w:val="000D15E0"/>
    <w:rsid w:val="000D1FB4"/>
    <w:rsid w:val="000D3298"/>
    <w:rsid w:val="000D44A9"/>
    <w:rsid w:val="000D46D6"/>
    <w:rsid w:val="000D49A1"/>
    <w:rsid w:val="000D6F28"/>
    <w:rsid w:val="000E159E"/>
    <w:rsid w:val="000E5F20"/>
    <w:rsid w:val="000F037E"/>
    <w:rsid w:val="000F1805"/>
    <w:rsid w:val="000F1E40"/>
    <w:rsid w:val="000F49A5"/>
    <w:rsid w:val="000F54D1"/>
    <w:rsid w:val="000F716C"/>
    <w:rsid w:val="001009B7"/>
    <w:rsid w:val="00102FB0"/>
    <w:rsid w:val="00106648"/>
    <w:rsid w:val="00107C32"/>
    <w:rsid w:val="001106C7"/>
    <w:rsid w:val="001111F6"/>
    <w:rsid w:val="00111DE8"/>
    <w:rsid w:val="001126F2"/>
    <w:rsid w:val="001132FE"/>
    <w:rsid w:val="00113CAF"/>
    <w:rsid w:val="0011583C"/>
    <w:rsid w:val="001162F7"/>
    <w:rsid w:val="0011658E"/>
    <w:rsid w:val="00116753"/>
    <w:rsid w:val="00117E64"/>
    <w:rsid w:val="0012153F"/>
    <w:rsid w:val="00121BB9"/>
    <w:rsid w:val="0012272D"/>
    <w:rsid w:val="00124015"/>
    <w:rsid w:val="00125812"/>
    <w:rsid w:val="001260EB"/>
    <w:rsid w:val="0013157D"/>
    <w:rsid w:val="00133497"/>
    <w:rsid w:val="001337AB"/>
    <w:rsid w:val="00135316"/>
    <w:rsid w:val="0013654C"/>
    <w:rsid w:val="0013738C"/>
    <w:rsid w:val="0013753B"/>
    <w:rsid w:val="00140970"/>
    <w:rsid w:val="0014275D"/>
    <w:rsid w:val="00145FD6"/>
    <w:rsid w:val="001519A7"/>
    <w:rsid w:val="001548E0"/>
    <w:rsid w:val="001554BB"/>
    <w:rsid w:val="0016002F"/>
    <w:rsid w:val="00160290"/>
    <w:rsid w:val="001630B6"/>
    <w:rsid w:val="00163DE1"/>
    <w:rsid w:val="00165992"/>
    <w:rsid w:val="0016685B"/>
    <w:rsid w:val="00167442"/>
    <w:rsid w:val="00172D78"/>
    <w:rsid w:val="00173DEF"/>
    <w:rsid w:val="00175CCB"/>
    <w:rsid w:val="001800A6"/>
    <w:rsid w:val="00180D0D"/>
    <w:rsid w:val="0018288C"/>
    <w:rsid w:val="00182BDB"/>
    <w:rsid w:val="001858CB"/>
    <w:rsid w:val="0018684B"/>
    <w:rsid w:val="001874A5"/>
    <w:rsid w:val="00187809"/>
    <w:rsid w:val="0019017A"/>
    <w:rsid w:val="0019113A"/>
    <w:rsid w:val="00192333"/>
    <w:rsid w:val="001927CE"/>
    <w:rsid w:val="00192A89"/>
    <w:rsid w:val="001935A7"/>
    <w:rsid w:val="00195735"/>
    <w:rsid w:val="00197969"/>
    <w:rsid w:val="00197EE2"/>
    <w:rsid w:val="001A029A"/>
    <w:rsid w:val="001A0CBC"/>
    <w:rsid w:val="001A0F6D"/>
    <w:rsid w:val="001A2DBB"/>
    <w:rsid w:val="001A38A3"/>
    <w:rsid w:val="001A3B87"/>
    <w:rsid w:val="001A5405"/>
    <w:rsid w:val="001A5AC7"/>
    <w:rsid w:val="001A6C44"/>
    <w:rsid w:val="001B12BE"/>
    <w:rsid w:val="001B2C31"/>
    <w:rsid w:val="001B3325"/>
    <w:rsid w:val="001B5263"/>
    <w:rsid w:val="001B5BA5"/>
    <w:rsid w:val="001B5D81"/>
    <w:rsid w:val="001B7D41"/>
    <w:rsid w:val="001C0EED"/>
    <w:rsid w:val="001C6324"/>
    <w:rsid w:val="001C691B"/>
    <w:rsid w:val="001C70C6"/>
    <w:rsid w:val="001C731C"/>
    <w:rsid w:val="001C7BEC"/>
    <w:rsid w:val="001C7F48"/>
    <w:rsid w:val="001D19B8"/>
    <w:rsid w:val="001D299F"/>
    <w:rsid w:val="001D38EE"/>
    <w:rsid w:val="001D5551"/>
    <w:rsid w:val="001D5CF0"/>
    <w:rsid w:val="001E7CF6"/>
    <w:rsid w:val="001F0DB1"/>
    <w:rsid w:val="001F0FA0"/>
    <w:rsid w:val="001F3492"/>
    <w:rsid w:val="001F3817"/>
    <w:rsid w:val="001F5D09"/>
    <w:rsid w:val="001F5DFF"/>
    <w:rsid w:val="001F696C"/>
    <w:rsid w:val="001F7201"/>
    <w:rsid w:val="002008E1"/>
    <w:rsid w:val="00200FD6"/>
    <w:rsid w:val="00202AA7"/>
    <w:rsid w:val="002068F2"/>
    <w:rsid w:val="00207882"/>
    <w:rsid w:val="002102C2"/>
    <w:rsid w:val="00215BC9"/>
    <w:rsid w:val="0021679A"/>
    <w:rsid w:val="00216E3C"/>
    <w:rsid w:val="00216F04"/>
    <w:rsid w:val="002178C2"/>
    <w:rsid w:val="00221155"/>
    <w:rsid w:val="00222340"/>
    <w:rsid w:val="00225E4E"/>
    <w:rsid w:val="00226E25"/>
    <w:rsid w:val="00231E1B"/>
    <w:rsid w:val="002354D3"/>
    <w:rsid w:val="00236A97"/>
    <w:rsid w:val="00237FC9"/>
    <w:rsid w:val="002420F5"/>
    <w:rsid w:val="00242957"/>
    <w:rsid w:val="0024393B"/>
    <w:rsid w:val="0024588B"/>
    <w:rsid w:val="00245B7F"/>
    <w:rsid w:val="00246BEE"/>
    <w:rsid w:val="00246CBA"/>
    <w:rsid w:val="002472EF"/>
    <w:rsid w:val="00247F22"/>
    <w:rsid w:val="00252C84"/>
    <w:rsid w:val="00254CB6"/>
    <w:rsid w:val="002551DA"/>
    <w:rsid w:val="002556DF"/>
    <w:rsid w:val="00255C04"/>
    <w:rsid w:val="00256719"/>
    <w:rsid w:val="002572AD"/>
    <w:rsid w:val="002652B9"/>
    <w:rsid w:val="002661B9"/>
    <w:rsid w:val="0027076B"/>
    <w:rsid w:val="00273E70"/>
    <w:rsid w:val="00274F02"/>
    <w:rsid w:val="00275E17"/>
    <w:rsid w:val="0027661F"/>
    <w:rsid w:val="00280F42"/>
    <w:rsid w:val="002866A3"/>
    <w:rsid w:val="0028717C"/>
    <w:rsid w:val="002879F9"/>
    <w:rsid w:val="00287F84"/>
    <w:rsid w:val="00290A5D"/>
    <w:rsid w:val="002911F6"/>
    <w:rsid w:val="00291312"/>
    <w:rsid w:val="002928FB"/>
    <w:rsid w:val="00292931"/>
    <w:rsid w:val="00293272"/>
    <w:rsid w:val="0029399D"/>
    <w:rsid w:val="002950DE"/>
    <w:rsid w:val="00296702"/>
    <w:rsid w:val="002975F6"/>
    <w:rsid w:val="00297C52"/>
    <w:rsid w:val="002A0772"/>
    <w:rsid w:val="002A3A7C"/>
    <w:rsid w:val="002A4052"/>
    <w:rsid w:val="002A4077"/>
    <w:rsid w:val="002B0004"/>
    <w:rsid w:val="002B0821"/>
    <w:rsid w:val="002B1B91"/>
    <w:rsid w:val="002B5EC0"/>
    <w:rsid w:val="002B5F19"/>
    <w:rsid w:val="002B68CA"/>
    <w:rsid w:val="002B7A9C"/>
    <w:rsid w:val="002B7C9B"/>
    <w:rsid w:val="002C0FA8"/>
    <w:rsid w:val="002C4150"/>
    <w:rsid w:val="002C543A"/>
    <w:rsid w:val="002C61B9"/>
    <w:rsid w:val="002C6B04"/>
    <w:rsid w:val="002D0A6E"/>
    <w:rsid w:val="002D2FEE"/>
    <w:rsid w:val="002D5336"/>
    <w:rsid w:val="002E01C2"/>
    <w:rsid w:val="002E05FF"/>
    <w:rsid w:val="002E10B3"/>
    <w:rsid w:val="002E1F3B"/>
    <w:rsid w:val="002E3D2B"/>
    <w:rsid w:val="002E3D9B"/>
    <w:rsid w:val="002E4256"/>
    <w:rsid w:val="002E56C6"/>
    <w:rsid w:val="002E5B2F"/>
    <w:rsid w:val="002E752D"/>
    <w:rsid w:val="002E7D7D"/>
    <w:rsid w:val="002F1953"/>
    <w:rsid w:val="002F1EC2"/>
    <w:rsid w:val="002F28A0"/>
    <w:rsid w:val="002F399C"/>
    <w:rsid w:val="002F4C0E"/>
    <w:rsid w:val="003000CB"/>
    <w:rsid w:val="00305715"/>
    <w:rsid w:val="003058F8"/>
    <w:rsid w:val="00307DEB"/>
    <w:rsid w:val="00310420"/>
    <w:rsid w:val="00311742"/>
    <w:rsid w:val="00312BB9"/>
    <w:rsid w:val="00315246"/>
    <w:rsid w:val="00315BB3"/>
    <w:rsid w:val="00316E61"/>
    <w:rsid w:val="00317541"/>
    <w:rsid w:val="003179A6"/>
    <w:rsid w:val="00320CB6"/>
    <w:rsid w:val="00322E19"/>
    <w:rsid w:val="00322EA1"/>
    <w:rsid w:val="00322F09"/>
    <w:rsid w:val="003264C3"/>
    <w:rsid w:val="00330D64"/>
    <w:rsid w:val="00332FC3"/>
    <w:rsid w:val="00334108"/>
    <w:rsid w:val="0033744B"/>
    <w:rsid w:val="003374E1"/>
    <w:rsid w:val="00340893"/>
    <w:rsid w:val="00340B2F"/>
    <w:rsid w:val="003413CF"/>
    <w:rsid w:val="00342F45"/>
    <w:rsid w:val="00342FE7"/>
    <w:rsid w:val="00343060"/>
    <w:rsid w:val="00343215"/>
    <w:rsid w:val="003477B2"/>
    <w:rsid w:val="003505D2"/>
    <w:rsid w:val="00351ADD"/>
    <w:rsid w:val="00351F98"/>
    <w:rsid w:val="003526A0"/>
    <w:rsid w:val="00354527"/>
    <w:rsid w:val="00356167"/>
    <w:rsid w:val="00356A08"/>
    <w:rsid w:val="0035713D"/>
    <w:rsid w:val="00362B76"/>
    <w:rsid w:val="00364791"/>
    <w:rsid w:val="0036522D"/>
    <w:rsid w:val="00371139"/>
    <w:rsid w:val="00371ECA"/>
    <w:rsid w:val="003724E1"/>
    <w:rsid w:val="0037460E"/>
    <w:rsid w:val="00375C6A"/>
    <w:rsid w:val="003760EB"/>
    <w:rsid w:val="00376B98"/>
    <w:rsid w:val="0038015D"/>
    <w:rsid w:val="003804B6"/>
    <w:rsid w:val="00380FE1"/>
    <w:rsid w:val="00381D7D"/>
    <w:rsid w:val="003842E0"/>
    <w:rsid w:val="003859A9"/>
    <w:rsid w:val="00385F47"/>
    <w:rsid w:val="00386320"/>
    <w:rsid w:val="00386B33"/>
    <w:rsid w:val="00386BB5"/>
    <w:rsid w:val="003874B6"/>
    <w:rsid w:val="00392682"/>
    <w:rsid w:val="00393256"/>
    <w:rsid w:val="00393E10"/>
    <w:rsid w:val="00396CA5"/>
    <w:rsid w:val="003A1250"/>
    <w:rsid w:val="003A3444"/>
    <w:rsid w:val="003A3C56"/>
    <w:rsid w:val="003A4F36"/>
    <w:rsid w:val="003A50E1"/>
    <w:rsid w:val="003A7A7E"/>
    <w:rsid w:val="003B08C2"/>
    <w:rsid w:val="003B5258"/>
    <w:rsid w:val="003C3987"/>
    <w:rsid w:val="003C46E5"/>
    <w:rsid w:val="003C6074"/>
    <w:rsid w:val="003C743D"/>
    <w:rsid w:val="003D0A5F"/>
    <w:rsid w:val="003D10AC"/>
    <w:rsid w:val="003D15E7"/>
    <w:rsid w:val="003D52E1"/>
    <w:rsid w:val="003D63C9"/>
    <w:rsid w:val="003D66BF"/>
    <w:rsid w:val="003D7A62"/>
    <w:rsid w:val="003D7DC2"/>
    <w:rsid w:val="003E0C5A"/>
    <w:rsid w:val="003E1AF9"/>
    <w:rsid w:val="003E5A80"/>
    <w:rsid w:val="003E626A"/>
    <w:rsid w:val="003E62C2"/>
    <w:rsid w:val="003E78C1"/>
    <w:rsid w:val="003F0386"/>
    <w:rsid w:val="003F2472"/>
    <w:rsid w:val="003F4B9E"/>
    <w:rsid w:val="003F530A"/>
    <w:rsid w:val="004102D2"/>
    <w:rsid w:val="0041033A"/>
    <w:rsid w:val="00411994"/>
    <w:rsid w:val="0041419A"/>
    <w:rsid w:val="0041450A"/>
    <w:rsid w:val="0041642B"/>
    <w:rsid w:val="00420228"/>
    <w:rsid w:val="00421505"/>
    <w:rsid w:val="0042172B"/>
    <w:rsid w:val="00423792"/>
    <w:rsid w:val="004248E0"/>
    <w:rsid w:val="0042501A"/>
    <w:rsid w:val="00425B7D"/>
    <w:rsid w:val="004342F9"/>
    <w:rsid w:val="00434B6B"/>
    <w:rsid w:val="004352CB"/>
    <w:rsid w:val="00435F99"/>
    <w:rsid w:val="004361ED"/>
    <w:rsid w:val="004372EA"/>
    <w:rsid w:val="004419FF"/>
    <w:rsid w:val="0044232E"/>
    <w:rsid w:val="00443F64"/>
    <w:rsid w:val="0044472E"/>
    <w:rsid w:val="00445DA5"/>
    <w:rsid w:val="004461D5"/>
    <w:rsid w:val="00447051"/>
    <w:rsid w:val="00451238"/>
    <w:rsid w:val="0045198E"/>
    <w:rsid w:val="0045348B"/>
    <w:rsid w:val="00453B0D"/>
    <w:rsid w:val="0045556F"/>
    <w:rsid w:val="004558FE"/>
    <w:rsid w:val="00455CF7"/>
    <w:rsid w:val="0045750F"/>
    <w:rsid w:val="00457934"/>
    <w:rsid w:val="0045796A"/>
    <w:rsid w:val="00460806"/>
    <w:rsid w:val="00460AB4"/>
    <w:rsid w:val="00460B7E"/>
    <w:rsid w:val="00465539"/>
    <w:rsid w:val="004668C7"/>
    <w:rsid w:val="00466CA2"/>
    <w:rsid w:val="00466DA3"/>
    <w:rsid w:val="00467EA0"/>
    <w:rsid w:val="00472A03"/>
    <w:rsid w:val="00475AD3"/>
    <w:rsid w:val="004778D6"/>
    <w:rsid w:val="00480B23"/>
    <w:rsid w:val="0048114F"/>
    <w:rsid w:val="00481D65"/>
    <w:rsid w:val="004841EA"/>
    <w:rsid w:val="004846C6"/>
    <w:rsid w:val="00485A30"/>
    <w:rsid w:val="00485D79"/>
    <w:rsid w:val="00486738"/>
    <w:rsid w:val="00490171"/>
    <w:rsid w:val="004921AC"/>
    <w:rsid w:val="0049236E"/>
    <w:rsid w:val="00494BD1"/>
    <w:rsid w:val="00496596"/>
    <w:rsid w:val="0049696A"/>
    <w:rsid w:val="004A1811"/>
    <w:rsid w:val="004B5403"/>
    <w:rsid w:val="004C265A"/>
    <w:rsid w:val="004C2E8B"/>
    <w:rsid w:val="004C3AC2"/>
    <w:rsid w:val="004C3E17"/>
    <w:rsid w:val="004C4A25"/>
    <w:rsid w:val="004C5C49"/>
    <w:rsid w:val="004D01FE"/>
    <w:rsid w:val="004D222E"/>
    <w:rsid w:val="004D2BB1"/>
    <w:rsid w:val="004D3092"/>
    <w:rsid w:val="004D3121"/>
    <w:rsid w:val="004D3429"/>
    <w:rsid w:val="004D4DF2"/>
    <w:rsid w:val="004D5EBB"/>
    <w:rsid w:val="004D7EE0"/>
    <w:rsid w:val="004E24FB"/>
    <w:rsid w:val="004E2998"/>
    <w:rsid w:val="004E3AFF"/>
    <w:rsid w:val="004E7ED6"/>
    <w:rsid w:val="004F1C2A"/>
    <w:rsid w:val="004F3B5A"/>
    <w:rsid w:val="004F4472"/>
    <w:rsid w:val="004F6380"/>
    <w:rsid w:val="004F7977"/>
    <w:rsid w:val="00500AC6"/>
    <w:rsid w:val="00501D0A"/>
    <w:rsid w:val="005026B2"/>
    <w:rsid w:val="0050310A"/>
    <w:rsid w:val="00503D6B"/>
    <w:rsid w:val="00504DBA"/>
    <w:rsid w:val="00505668"/>
    <w:rsid w:val="00512711"/>
    <w:rsid w:val="00513F79"/>
    <w:rsid w:val="00515C7E"/>
    <w:rsid w:val="00520C77"/>
    <w:rsid w:val="005213CF"/>
    <w:rsid w:val="005218B3"/>
    <w:rsid w:val="00522D43"/>
    <w:rsid w:val="00527B83"/>
    <w:rsid w:val="00532DAA"/>
    <w:rsid w:val="00535343"/>
    <w:rsid w:val="00536123"/>
    <w:rsid w:val="0053724B"/>
    <w:rsid w:val="0054095A"/>
    <w:rsid w:val="00543DF5"/>
    <w:rsid w:val="00544F46"/>
    <w:rsid w:val="0054668C"/>
    <w:rsid w:val="005501A0"/>
    <w:rsid w:val="00554764"/>
    <w:rsid w:val="005571C4"/>
    <w:rsid w:val="00560D34"/>
    <w:rsid w:val="00561860"/>
    <w:rsid w:val="0056478E"/>
    <w:rsid w:val="0056539A"/>
    <w:rsid w:val="0057056B"/>
    <w:rsid w:val="00571158"/>
    <w:rsid w:val="00571165"/>
    <w:rsid w:val="0057251B"/>
    <w:rsid w:val="005734F0"/>
    <w:rsid w:val="0057384E"/>
    <w:rsid w:val="00575372"/>
    <w:rsid w:val="00582F2F"/>
    <w:rsid w:val="00584872"/>
    <w:rsid w:val="00585968"/>
    <w:rsid w:val="00587870"/>
    <w:rsid w:val="0059023C"/>
    <w:rsid w:val="0059434A"/>
    <w:rsid w:val="005965B8"/>
    <w:rsid w:val="00597185"/>
    <w:rsid w:val="005A05AE"/>
    <w:rsid w:val="005A0659"/>
    <w:rsid w:val="005A1295"/>
    <w:rsid w:val="005A1306"/>
    <w:rsid w:val="005A3BE2"/>
    <w:rsid w:val="005A3F92"/>
    <w:rsid w:val="005B058F"/>
    <w:rsid w:val="005B2036"/>
    <w:rsid w:val="005B2E5C"/>
    <w:rsid w:val="005B37BC"/>
    <w:rsid w:val="005B40EB"/>
    <w:rsid w:val="005B4ADE"/>
    <w:rsid w:val="005B60CF"/>
    <w:rsid w:val="005B6CF5"/>
    <w:rsid w:val="005B6DF3"/>
    <w:rsid w:val="005C19A9"/>
    <w:rsid w:val="005C2A9A"/>
    <w:rsid w:val="005C32A3"/>
    <w:rsid w:val="005C6A05"/>
    <w:rsid w:val="005C79DA"/>
    <w:rsid w:val="005D03A3"/>
    <w:rsid w:val="005D1241"/>
    <w:rsid w:val="005D22E6"/>
    <w:rsid w:val="005D274F"/>
    <w:rsid w:val="005D4C09"/>
    <w:rsid w:val="005D555F"/>
    <w:rsid w:val="005E07EF"/>
    <w:rsid w:val="005E2FFC"/>
    <w:rsid w:val="005E3153"/>
    <w:rsid w:val="005E33DB"/>
    <w:rsid w:val="005E342F"/>
    <w:rsid w:val="005E506E"/>
    <w:rsid w:val="005F00AB"/>
    <w:rsid w:val="005F0589"/>
    <w:rsid w:val="005F0DD4"/>
    <w:rsid w:val="005F164B"/>
    <w:rsid w:val="005F49BA"/>
    <w:rsid w:val="005F4EAE"/>
    <w:rsid w:val="00600AD8"/>
    <w:rsid w:val="00601C2D"/>
    <w:rsid w:val="006027A7"/>
    <w:rsid w:val="006047EF"/>
    <w:rsid w:val="00605749"/>
    <w:rsid w:val="00605AF8"/>
    <w:rsid w:val="0060669D"/>
    <w:rsid w:val="00607C63"/>
    <w:rsid w:val="00612EAB"/>
    <w:rsid w:val="006142DC"/>
    <w:rsid w:val="00614B47"/>
    <w:rsid w:val="00615AB9"/>
    <w:rsid w:val="00622E11"/>
    <w:rsid w:val="00624831"/>
    <w:rsid w:val="00625306"/>
    <w:rsid w:val="00627592"/>
    <w:rsid w:val="00627C1C"/>
    <w:rsid w:val="00630E34"/>
    <w:rsid w:val="00631F07"/>
    <w:rsid w:val="0063316B"/>
    <w:rsid w:val="00641696"/>
    <w:rsid w:val="00642697"/>
    <w:rsid w:val="00643AE5"/>
    <w:rsid w:val="00643EB2"/>
    <w:rsid w:val="00644201"/>
    <w:rsid w:val="00651814"/>
    <w:rsid w:val="006519F8"/>
    <w:rsid w:val="00653B9F"/>
    <w:rsid w:val="00654848"/>
    <w:rsid w:val="00654F42"/>
    <w:rsid w:val="006570D7"/>
    <w:rsid w:val="0066158C"/>
    <w:rsid w:val="00665255"/>
    <w:rsid w:val="006654A0"/>
    <w:rsid w:val="006659C1"/>
    <w:rsid w:val="00666591"/>
    <w:rsid w:val="006675A9"/>
    <w:rsid w:val="006704AC"/>
    <w:rsid w:val="00671B2C"/>
    <w:rsid w:val="00673522"/>
    <w:rsid w:val="006741A0"/>
    <w:rsid w:val="00674683"/>
    <w:rsid w:val="006747F1"/>
    <w:rsid w:val="00676305"/>
    <w:rsid w:val="00680766"/>
    <w:rsid w:val="00680ECB"/>
    <w:rsid w:val="00684F2C"/>
    <w:rsid w:val="006878B8"/>
    <w:rsid w:val="0069084B"/>
    <w:rsid w:val="00691A07"/>
    <w:rsid w:val="0069344C"/>
    <w:rsid w:val="00694D90"/>
    <w:rsid w:val="00695AC0"/>
    <w:rsid w:val="00697D6A"/>
    <w:rsid w:val="006A1453"/>
    <w:rsid w:val="006A2FB3"/>
    <w:rsid w:val="006A3AA5"/>
    <w:rsid w:val="006A3F17"/>
    <w:rsid w:val="006A4D75"/>
    <w:rsid w:val="006A5595"/>
    <w:rsid w:val="006A7BED"/>
    <w:rsid w:val="006B19ED"/>
    <w:rsid w:val="006B2E33"/>
    <w:rsid w:val="006B42C7"/>
    <w:rsid w:val="006B441A"/>
    <w:rsid w:val="006B46B2"/>
    <w:rsid w:val="006B47ED"/>
    <w:rsid w:val="006B594C"/>
    <w:rsid w:val="006B698F"/>
    <w:rsid w:val="006C0255"/>
    <w:rsid w:val="006C1021"/>
    <w:rsid w:val="006C1049"/>
    <w:rsid w:val="006C15A2"/>
    <w:rsid w:val="006C3B6F"/>
    <w:rsid w:val="006C4111"/>
    <w:rsid w:val="006C68B6"/>
    <w:rsid w:val="006C6FA9"/>
    <w:rsid w:val="006D174F"/>
    <w:rsid w:val="006D426C"/>
    <w:rsid w:val="006D5253"/>
    <w:rsid w:val="006D5AFD"/>
    <w:rsid w:val="006D6B52"/>
    <w:rsid w:val="006D7406"/>
    <w:rsid w:val="006D79B4"/>
    <w:rsid w:val="006E05AD"/>
    <w:rsid w:val="006E2C02"/>
    <w:rsid w:val="006E321E"/>
    <w:rsid w:val="006E44C9"/>
    <w:rsid w:val="006E5B27"/>
    <w:rsid w:val="006E6A99"/>
    <w:rsid w:val="006F240D"/>
    <w:rsid w:val="006F265F"/>
    <w:rsid w:val="006F3B12"/>
    <w:rsid w:val="006F7B8D"/>
    <w:rsid w:val="00700577"/>
    <w:rsid w:val="00702E0B"/>
    <w:rsid w:val="00703160"/>
    <w:rsid w:val="00704063"/>
    <w:rsid w:val="00704148"/>
    <w:rsid w:val="007076A2"/>
    <w:rsid w:val="00707C89"/>
    <w:rsid w:val="007108F1"/>
    <w:rsid w:val="00713B54"/>
    <w:rsid w:val="00715691"/>
    <w:rsid w:val="00717DEE"/>
    <w:rsid w:val="00721030"/>
    <w:rsid w:val="007303FF"/>
    <w:rsid w:val="00731935"/>
    <w:rsid w:val="007402CD"/>
    <w:rsid w:val="007419FC"/>
    <w:rsid w:val="007426F1"/>
    <w:rsid w:val="00742CC8"/>
    <w:rsid w:val="007430BE"/>
    <w:rsid w:val="00744F21"/>
    <w:rsid w:val="0074515E"/>
    <w:rsid w:val="00746523"/>
    <w:rsid w:val="00752966"/>
    <w:rsid w:val="00754857"/>
    <w:rsid w:val="00754AF5"/>
    <w:rsid w:val="0075525F"/>
    <w:rsid w:val="007567CE"/>
    <w:rsid w:val="00756A6B"/>
    <w:rsid w:val="00756F1A"/>
    <w:rsid w:val="00757E86"/>
    <w:rsid w:val="0076041F"/>
    <w:rsid w:val="007616F3"/>
    <w:rsid w:val="00762FEA"/>
    <w:rsid w:val="00763E36"/>
    <w:rsid w:val="00764FD1"/>
    <w:rsid w:val="00765B3D"/>
    <w:rsid w:val="00766A10"/>
    <w:rsid w:val="007703D8"/>
    <w:rsid w:val="007710DD"/>
    <w:rsid w:val="0077276E"/>
    <w:rsid w:val="007733F7"/>
    <w:rsid w:val="007739FC"/>
    <w:rsid w:val="0077591F"/>
    <w:rsid w:val="00776604"/>
    <w:rsid w:val="00776766"/>
    <w:rsid w:val="00782A57"/>
    <w:rsid w:val="00783352"/>
    <w:rsid w:val="00783785"/>
    <w:rsid w:val="00783BD8"/>
    <w:rsid w:val="007848F0"/>
    <w:rsid w:val="00786887"/>
    <w:rsid w:val="007900A8"/>
    <w:rsid w:val="00790DC2"/>
    <w:rsid w:val="00793032"/>
    <w:rsid w:val="00793888"/>
    <w:rsid w:val="00794750"/>
    <w:rsid w:val="0079552F"/>
    <w:rsid w:val="007970B9"/>
    <w:rsid w:val="007A0F19"/>
    <w:rsid w:val="007A3561"/>
    <w:rsid w:val="007A3F23"/>
    <w:rsid w:val="007A4A70"/>
    <w:rsid w:val="007A732F"/>
    <w:rsid w:val="007A7338"/>
    <w:rsid w:val="007A7739"/>
    <w:rsid w:val="007B0882"/>
    <w:rsid w:val="007B0BEB"/>
    <w:rsid w:val="007B1929"/>
    <w:rsid w:val="007C01DA"/>
    <w:rsid w:val="007C0A0F"/>
    <w:rsid w:val="007C18A8"/>
    <w:rsid w:val="007C225F"/>
    <w:rsid w:val="007C52B5"/>
    <w:rsid w:val="007C59D2"/>
    <w:rsid w:val="007C7362"/>
    <w:rsid w:val="007D0C97"/>
    <w:rsid w:val="007D2681"/>
    <w:rsid w:val="007D2834"/>
    <w:rsid w:val="007D34DA"/>
    <w:rsid w:val="007D3D7B"/>
    <w:rsid w:val="007D40FA"/>
    <w:rsid w:val="007D43BA"/>
    <w:rsid w:val="007D57D4"/>
    <w:rsid w:val="007D5F2E"/>
    <w:rsid w:val="007D6F1A"/>
    <w:rsid w:val="007D7A60"/>
    <w:rsid w:val="007E17BB"/>
    <w:rsid w:val="007E1A12"/>
    <w:rsid w:val="007E4446"/>
    <w:rsid w:val="007E64FF"/>
    <w:rsid w:val="007E6BCC"/>
    <w:rsid w:val="007E6DC9"/>
    <w:rsid w:val="007E755C"/>
    <w:rsid w:val="007F0449"/>
    <w:rsid w:val="007F1260"/>
    <w:rsid w:val="007F38E0"/>
    <w:rsid w:val="007F465B"/>
    <w:rsid w:val="007F628C"/>
    <w:rsid w:val="007F64BB"/>
    <w:rsid w:val="007F79C8"/>
    <w:rsid w:val="007F7B5A"/>
    <w:rsid w:val="00800160"/>
    <w:rsid w:val="00802443"/>
    <w:rsid w:val="00803259"/>
    <w:rsid w:val="00803C76"/>
    <w:rsid w:val="00803D97"/>
    <w:rsid w:val="008040CD"/>
    <w:rsid w:val="00810B38"/>
    <w:rsid w:val="00812DF6"/>
    <w:rsid w:val="00814384"/>
    <w:rsid w:val="00814677"/>
    <w:rsid w:val="00814D1F"/>
    <w:rsid w:val="008174E5"/>
    <w:rsid w:val="0082067E"/>
    <w:rsid w:val="00820BF5"/>
    <w:rsid w:val="00820D4C"/>
    <w:rsid w:val="0082382C"/>
    <w:rsid w:val="00825B15"/>
    <w:rsid w:val="00832017"/>
    <w:rsid w:val="00833E2D"/>
    <w:rsid w:val="00836499"/>
    <w:rsid w:val="00837E19"/>
    <w:rsid w:val="008406F1"/>
    <w:rsid w:val="00842B8C"/>
    <w:rsid w:val="00843877"/>
    <w:rsid w:val="00844916"/>
    <w:rsid w:val="008452E5"/>
    <w:rsid w:val="00845525"/>
    <w:rsid w:val="00845BAE"/>
    <w:rsid w:val="00850749"/>
    <w:rsid w:val="00850CED"/>
    <w:rsid w:val="00851530"/>
    <w:rsid w:val="00852A93"/>
    <w:rsid w:val="00854752"/>
    <w:rsid w:val="00855CA9"/>
    <w:rsid w:val="00857EE8"/>
    <w:rsid w:val="008602BE"/>
    <w:rsid w:val="00861316"/>
    <w:rsid w:val="00863DF0"/>
    <w:rsid w:val="00864568"/>
    <w:rsid w:val="00865AC1"/>
    <w:rsid w:val="00865BD0"/>
    <w:rsid w:val="00867E7E"/>
    <w:rsid w:val="00870EE2"/>
    <w:rsid w:val="008725E1"/>
    <w:rsid w:val="0087328E"/>
    <w:rsid w:val="00873E68"/>
    <w:rsid w:val="00874355"/>
    <w:rsid w:val="008748AD"/>
    <w:rsid w:val="00874ADD"/>
    <w:rsid w:val="00877C46"/>
    <w:rsid w:val="008818ED"/>
    <w:rsid w:val="00882F16"/>
    <w:rsid w:val="00882F53"/>
    <w:rsid w:val="008834CA"/>
    <w:rsid w:val="00883787"/>
    <w:rsid w:val="00883B94"/>
    <w:rsid w:val="00884652"/>
    <w:rsid w:val="00884FC3"/>
    <w:rsid w:val="0088558C"/>
    <w:rsid w:val="00887AFA"/>
    <w:rsid w:val="00890F04"/>
    <w:rsid w:val="00892588"/>
    <w:rsid w:val="008A2FD5"/>
    <w:rsid w:val="008A3A46"/>
    <w:rsid w:val="008A436E"/>
    <w:rsid w:val="008A756C"/>
    <w:rsid w:val="008B3E64"/>
    <w:rsid w:val="008B602B"/>
    <w:rsid w:val="008B7094"/>
    <w:rsid w:val="008C084C"/>
    <w:rsid w:val="008C1EFE"/>
    <w:rsid w:val="008C6114"/>
    <w:rsid w:val="008D0499"/>
    <w:rsid w:val="008D0756"/>
    <w:rsid w:val="008D1569"/>
    <w:rsid w:val="008D252B"/>
    <w:rsid w:val="008D3929"/>
    <w:rsid w:val="008D3E56"/>
    <w:rsid w:val="008D4777"/>
    <w:rsid w:val="008D4E7C"/>
    <w:rsid w:val="008D5BBE"/>
    <w:rsid w:val="008D6CB4"/>
    <w:rsid w:val="008D6FBB"/>
    <w:rsid w:val="008D7863"/>
    <w:rsid w:val="008D7E34"/>
    <w:rsid w:val="008D7E88"/>
    <w:rsid w:val="008E18E4"/>
    <w:rsid w:val="008E447C"/>
    <w:rsid w:val="008E6309"/>
    <w:rsid w:val="008E6ECD"/>
    <w:rsid w:val="008F0640"/>
    <w:rsid w:val="008F43B7"/>
    <w:rsid w:val="008F507D"/>
    <w:rsid w:val="008F7936"/>
    <w:rsid w:val="0090034D"/>
    <w:rsid w:val="0090047E"/>
    <w:rsid w:val="00901A6D"/>
    <w:rsid w:val="00906134"/>
    <w:rsid w:val="0090759D"/>
    <w:rsid w:val="00907FD5"/>
    <w:rsid w:val="00907FF6"/>
    <w:rsid w:val="00911BBA"/>
    <w:rsid w:val="009128EA"/>
    <w:rsid w:val="00914631"/>
    <w:rsid w:val="00914F37"/>
    <w:rsid w:val="00915655"/>
    <w:rsid w:val="0091583C"/>
    <w:rsid w:val="0092087C"/>
    <w:rsid w:val="009223A6"/>
    <w:rsid w:val="009229AB"/>
    <w:rsid w:val="00926DF9"/>
    <w:rsid w:val="00926FEC"/>
    <w:rsid w:val="0093029E"/>
    <w:rsid w:val="009314ED"/>
    <w:rsid w:val="009317FA"/>
    <w:rsid w:val="00933F49"/>
    <w:rsid w:val="0093772B"/>
    <w:rsid w:val="00937E79"/>
    <w:rsid w:val="009409ED"/>
    <w:rsid w:val="009414EC"/>
    <w:rsid w:val="00941E68"/>
    <w:rsid w:val="00942018"/>
    <w:rsid w:val="00942837"/>
    <w:rsid w:val="009433F5"/>
    <w:rsid w:val="009454A3"/>
    <w:rsid w:val="00947A7C"/>
    <w:rsid w:val="00950B92"/>
    <w:rsid w:val="00950BFE"/>
    <w:rsid w:val="00951D54"/>
    <w:rsid w:val="00954B14"/>
    <w:rsid w:val="0096153B"/>
    <w:rsid w:val="009621F2"/>
    <w:rsid w:val="0096471A"/>
    <w:rsid w:val="00966488"/>
    <w:rsid w:val="00971034"/>
    <w:rsid w:val="009737F5"/>
    <w:rsid w:val="009754B2"/>
    <w:rsid w:val="009774EE"/>
    <w:rsid w:val="0097786E"/>
    <w:rsid w:val="00980FAF"/>
    <w:rsid w:val="009828DA"/>
    <w:rsid w:val="00982B74"/>
    <w:rsid w:val="009834B0"/>
    <w:rsid w:val="0098516E"/>
    <w:rsid w:val="009854C7"/>
    <w:rsid w:val="00986C8D"/>
    <w:rsid w:val="009879A5"/>
    <w:rsid w:val="00990DAD"/>
    <w:rsid w:val="0099105E"/>
    <w:rsid w:val="00991A67"/>
    <w:rsid w:val="0099215F"/>
    <w:rsid w:val="00992E8E"/>
    <w:rsid w:val="00994843"/>
    <w:rsid w:val="00995B99"/>
    <w:rsid w:val="00996AD8"/>
    <w:rsid w:val="009977F1"/>
    <w:rsid w:val="009A00FB"/>
    <w:rsid w:val="009A119E"/>
    <w:rsid w:val="009A24DD"/>
    <w:rsid w:val="009A34E0"/>
    <w:rsid w:val="009A4150"/>
    <w:rsid w:val="009A4CB7"/>
    <w:rsid w:val="009A4EA8"/>
    <w:rsid w:val="009A61D0"/>
    <w:rsid w:val="009A623C"/>
    <w:rsid w:val="009A6784"/>
    <w:rsid w:val="009A6854"/>
    <w:rsid w:val="009A7D6F"/>
    <w:rsid w:val="009B09C9"/>
    <w:rsid w:val="009B2F13"/>
    <w:rsid w:val="009B4B1F"/>
    <w:rsid w:val="009B53BB"/>
    <w:rsid w:val="009B663E"/>
    <w:rsid w:val="009B698D"/>
    <w:rsid w:val="009B6EA8"/>
    <w:rsid w:val="009B74DD"/>
    <w:rsid w:val="009C0107"/>
    <w:rsid w:val="009C0F5A"/>
    <w:rsid w:val="009C1002"/>
    <w:rsid w:val="009C6F2C"/>
    <w:rsid w:val="009C78FE"/>
    <w:rsid w:val="009D062C"/>
    <w:rsid w:val="009D3815"/>
    <w:rsid w:val="009D4B61"/>
    <w:rsid w:val="009D7BCE"/>
    <w:rsid w:val="009E0AB6"/>
    <w:rsid w:val="009E1B55"/>
    <w:rsid w:val="009E3169"/>
    <w:rsid w:val="009E3357"/>
    <w:rsid w:val="009E4B30"/>
    <w:rsid w:val="009E4B96"/>
    <w:rsid w:val="009E4E60"/>
    <w:rsid w:val="009E551D"/>
    <w:rsid w:val="009E7476"/>
    <w:rsid w:val="009E7521"/>
    <w:rsid w:val="009F0285"/>
    <w:rsid w:val="009F30E2"/>
    <w:rsid w:val="009F36B6"/>
    <w:rsid w:val="009F5081"/>
    <w:rsid w:val="009F55FF"/>
    <w:rsid w:val="009F6F65"/>
    <w:rsid w:val="00A0038C"/>
    <w:rsid w:val="00A0197C"/>
    <w:rsid w:val="00A028EF"/>
    <w:rsid w:val="00A0468F"/>
    <w:rsid w:val="00A058ED"/>
    <w:rsid w:val="00A05E8B"/>
    <w:rsid w:val="00A0616D"/>
    <w:rsid w:val="00A07DA3"/>
    <w:rsid w:val="00A12B70"/>
    <w:rsid w:val="00A12E49"/>
    <w:rsid w:val="00A13AE4"/>
    <w:rsid w:val="00A14AE9"/>
    <w:rsid w:val="00A1573F"/>
    <w:rsid w:val="00A16715"/>
    <w:rsid w:val="00A171AE"/>
    <w:rsid w:val="00A17505"/>
    <w:rsid w:val="00A25DD6"/>
    <w:rsid w:val="00A261A1"/>
    <w:rsid w:val="00A26683"/>
    <w:rsid w:val="00A27A04"/>
    <w:rsid w:val="00A31A01"/>
    <w:rsid w:val="00A33087"/>
    <w:rsid w:val="00A33D8B"/>
    <w:rsid w:val="00A341F8"/>
    <w:rsid w:val="00A36C81"/>
    <w:rsid w:val="00A36DCA"/>
    <w:rsid w:val="00A37A53"/>
    <w:rsid w:val="00A445A7"/>
    <w:rsid w:val="00A445DB"/>
    <w:rsid w:val="00A47DF4"/>
    <w:rsid w:val="00A501B6"/>
    <w:rsid w:val="00A518F5"/>
    <w:rsid w:val="00A54359"/>
    <w:rsid w:val="00A546A6"/>
    <w:rsid w:val="00A57480"/>
    <w:rsid w:val="00A57DDB"/>
    <w:rsid w:val="00A61374"/>
    <w:rsid w:val="00A61A5D"/>
    <w:rsid w:val="00A62E8F"/>
    <w:rsid w:val="00A63059"/>
    <w:rsid w:val="00A64C01"/>
    <w:rsid w:val="00A666BF"/>
    <w:rsid w:val="00A70E65"/>
    <w:rsid w:val="00A70E9C"/>
    <w:rsid w:val="00A751B8"/>
    <w:rsid w:val="00A7563E"/>
    <w:rsid w:val="00A76A4F"/>
    <w:rsid w:val="00A773BF"/>
    <w:rsid w:val="00A773EA"/>
    <w:rsid w:val="00A77B77"/>
    <w:rsid w:val="00A805C3"/>
    <w:rsid w:val="00A80673"/>
    <w:rsid w:val="00A812E3"/>
    <w:rsid w:val="00A8340D"/>
    <w:rsid w:val="00A83853"/>
    <w:rsid w:val="00A84BE7"/>
    <w:rsid w:val="00A85234"/>
    <w:rsid w:val="00A86FEA"/>
    <w:rsid w:val="00A91350"/>
    <w:rsid w:val="00A9444F"/>
    <w:rsid w:val="00A95A7C"/>
    <w:rsid w:val="00A95D69"/>
    <w:rsid w:val="00A9782C"/>
    <w:rsid w:val="00AA2665"/>
    <w:rsid w:val="00AA39E2"/>
    <w:rsid w:val="00AA513A"/>
    <w:rsid w:val="00AA658D"/>
    <w:rsid w:val="00AB08EB"/>
    <w:rsid w:val="00AB101A"/>
    <w:rsid w:val="00AB2E69"/>
    <w:rsid w:val="00AB470D"/>
    <w:rsid w:val="00AB4D50"/>
    <w:rsid w:val="00AB4F6C"/>
    <w:rsid w:val="00AB77CB"/>
    <w:rsid w:val="00AC090B"/>
    <w:rsid w:val="00AC2A81"/>
    <w:rsid w:val="00AC3B9A"/>
    <w:rsid w:val="00AC52F2"/>
    <w:rsid w:val="00AC7F3C"/>
    <w:rsid w:val="00AD0F29"/>
    <w:rsid w:val="00AD202E"/>
    <w:rsid w:val="00AD4BF2"/>
    <w:rsid w:val="00AD4D5F"/>
    <w:rsid w:val="00AD5E9A"/>
    <w:rsid w:val="00AD75B8"/>
    <w:rsid w:val="00AE27EF"/>
    <w:rsid w:val="00AE3015"/>
    <w:rsid w:val="00AE44FA"/>
    <w:rsid w:val="00AE4873"/>
    <w:rsid w:val="00AE4ED6"/>
    <w:rsid w:val="00AE53E7"/>
    <w:rsid w:val="00AE5614"/>
    <w:rsid w:val="00AE59E9"/>
    <w:rsid w:val="00AF2166"/>
    <w:rsid w:val="00AF4216"/>
    <w:rsid w:val="00AF4F04"/>
    <w:rsid w:val="00AF57A9"/>
    <w:rsid w:val="00B00602"/>
    <w:rsid w:val="00B0235D"/>
    <w:rsid w:val="00B03A41"/>
    <w:rsid w:val="00B0433A"/>
    <w:rsid w:val="00B05BE3"/>
    <w:rsid w:val="00B07798"/>
    <w:rsid w:val="00B10657"/>
    <w:rsid w:val="00B1453D"/>
    <w:rsid w:val="00B152F5"/>
    <w:rsid w:val="00B167E0"/>
    <w:rsid w:val="00B20BFA"/>
    <w:rsid w:val="00B2701D"/>
    <w:rsid w:val="00B27DBF"/>
    <w:rsid w:val="00B30B72"/>
    <w:rsid w:val="00B30DA2"/>
    <w:rsid w:val="00B33985"/>
    <w:rsid w:val="00B36420"/>
    <w:rsid w:val="00B3717E"/>
    <w:rsid w:val="00B42747"/>
    <w:rsid w:val="00B43625"/>
    <w:rsid w:val="00B45213"/>
    <w:rsid w:val="00B45A65"/>
    <w:rsid w:val="00B460FC"/>
    <w:rsid w:val="00B46926"/>
    <w:rsid w:val="00B5375C"/>
    <w:rsid w:val="00B5387B"/>
    <w:rsid w:val="00B549A1"/>
    <w:rsid w:val="00B557A1"/>
    <w:rsid w:val="00B56FE1"/>
    <w:rsid w:val="00B57570"/>
    <w:rsid w:val="00B57AEB"/>
    <w:rsid w:val="00B630B0"/>
    <w:rsid w:val="00B65438"/>
    <w:rsid w:val="00B655EA"/>
    <w:rsid w:val="00B659B4"/>
    <w:rsid w:val="00B71400"/>
    <w:rsid w:val="00B80925"/>
    <w:rsid w:val="00B8092D"/>
    <w:rsid w:val="00B83EF2"/>
    <w:rsid w:val="00B845AB"/>
    <w:rsid w:val="00B84D25"/>
    <w:rsid w:val="00B859F0"/>
    <w:rsid w:val="00B8608F"/>
    <w:rsid w:val="00B861FA"/>
    <w:rsid w:val="00B868F2"/>
    <w:rsid w:val="00B8765E"/>
    <w:rsid w:val="00B9064E"/>
    <w:rsid w:val="00B92367"/>
    <w:rsid w:val="00B9384D"/>
    <w:rsid w:val="00B949B0"/>
    <w:rsid w:val="00B95152"/>
    <w:rsid w:val="00B978F7"/>
    <w:rsid w:val="00B97B60"/>
    <w:rsid w:val="00BA018C"/>
    <w:rsid w:val="00BA326D"/>
    <w:rsid w:val="00BA7FDE"/>
    <w:rsid w:val="00BB576B"/>
    <w:rsid w:val="00BB5D6D"/>
    <w:rsid w:val="00BB7531"/>
    <w:rsid w:val="00BB7FED"/>
    <w:rsid w:val="00BC1413"/>
    <w:rsid w:val="00BC3CBC"/>
    <w:rsid w:val="00BC3E52"/>
    <w:rsid w:val="00BC4A29"/>
    <w:rsid w:val="00BC54CD"/>
    <w:rsid w:val="00BC59A9"/>
    <w:rsid w:val="00BD1A8F"/>
    <w:rsid w:val="00BD2FCC"/>
    <w:rsid w:val="00BD4BA3"/>
    <w:rsid w:val="00BD4DDF"/>
    <w:rsid w:val="00BD5034"/>
    <w:rsid w:val="00BD543C"/>
    <w:rsid w:val="00BD7F0A"/>
    <w:rsid w:val="00BE05C3"/>
    <w:rsid w:val="00BE0736"/>
    <w:rsid w:val="00BE328F"/>
    <w:rsid w:val="00BE3558"/>
    <w:rsid w:val="00BE3D72"/>
    <w:rsid w:val="00BE430A"/>
    <w:rsid w:val="00BF1FC9"/>
    <w:rsid w:val="00BF22A0"/>
    <w:rsid w:val="00BF5CD5"/>
    <w:rsid w:val="00BF5DE6"/>
    <w:rsid w:val="00BF700B"/>
    <w:rsid w:val="00C0133B"/>
    <w:rsid w:val="00C01861"/>
    <w:rsid w:val="00C03C73"/>
    <w:rsid w:val="00C057B8"/>
    <w:rsid w:val="00C110C3"/>
    <w:rsid w:val="00C11209"/>
    <w:rsid w:val="00C1347E"/>
    <w:rsid w:val="00C16E9A"/>
    <w:rsid w:val="00C17D30"/>
    <w:rsid w:val="00C22846"/>
    <w:rsid w:val="00C22A35"/>
    <w:rsid w:val="00C2358E"/>
    <w:rsid w:val="00C23E4C"/>
    <w:rsid w:val="00C24A64"/>
    <w:rsid w:val="00C2560F"/>
    <w:rsid w:val="00C2689B"/>
    <w:rsid w:val="00C26AE4"/>
    <w:rsid w:val="00C27FEB"/>
    <w:rsid w:val="00C300E1"/>
    <w:rsid w:val="00C37B0E"/>
    <w:rsid w:val="00C37CF8"/>
    <w:rsid w:val="00C41B2D"/>
    <w:rsid w:val="00C43205"/>
    <w:rsid w:val="00C43365"/>
    <w:rsid w:val="00C43417"/>
    <w:rsid w:val="00C434BC"/>
    <w:rsid w:val="00C4374A"/>
    <w:rsid w:val="00C43DF1"/>
    <w:rsid w:val="00C44BF2"/>
    <w:rsid w:val="00C46916"/>
    <w:rsid w:val="00C46F10"/>
    <w:rsid w:val="00C47841"/>
    <w:rsid w:val="00C47DD1"/>
    <w:rsid w:val="00C51F19"/>
    <w:rsid w:val="00C520D5"/>
    <w:rsid w:val="00C53B23"/>
    <w:rsid w:val="00C54551"/>
    <w:rsid w:val="00C54C1A"/>
    <w:rsid w:val="00C55E3C"/>
    <w:rsid w:val="00C569C7"/>
    <w:rsid w:val="00C60596"/>
    <w:rsid w:val="00C61E75"/>
    <w:rsid w:val="00C63BA1"/>
    <w:rsid w:val="00C65633"/>
    <w:rsid w:val="00C66E7B"/>
    <w:rsid w:val="00C673A9"/>
    <w:rsid w:val="00C67517"/>
    <w:rsid w:val="00C67EF6"/>
    <w:rsid w:val="00C70E33"/>
    <w:rsid w:val="00C71507"/>
    <w:rsid w:val="00C7390E"/>
    <w:rsid w:val="00C7407F"/>
    <w:rsid w:val="00C80690"/>
    <w:rsid w:val="00C8265C"/>
    <w:rsid w:val="00C83E31"/>
    <w:rsid w:val="00C856E7"/>
    <w:rsid w:val="00C91028"/>
    <w:rsid w:val="00C93BF1"/>
    <w:rsid w:val="00C94863"/>
    <w:rsid w:val="00CA110B"/>
    <w:rsid w:val="00CA283C"/>
    <w:rsid w:val="00CA2EE5"/>
    <w:rsid w:val="00CA5B2A"/>
    <w:rsid w:val="00CA7144"/>
    <w:rsid w:val="00CA7B54"/>
    <w:rsid w:val="00CB3BBB"/>
    <w:rsid w:val="00CB4B27"/>
    <w:rsid w:val="00CB6C9E"/>
    <w:rsid w:val="00CB7817"/>
    <w:rsid w:val="00CB78E6"/>
    <w:rsid w:val="00CC1670"/>
    <w:rsid w:val="00CC2299"/>
    <w:rsid w:val="00CC3FC3"/>
    <w:rsid w:val="00CC48DF"/>
    <w:rsid w:val="00CC5ECE"/>
    <w:rsid w:val="00CC6C49"/>
    <w:rsid w:val="00CD005F"/>
    <w:rsid w:val="00CD29F1"/>
    <w:rsid w:val="00CD47D7"/>
    <w:rsid w:val="00CD4B9E"/>
    <w:rsid w:val="00CD52EE"/>
    <w:rsid w:val="00CD5669"/>
    <w:rsid w:val="00CD6743"/>
    <w:rsid w:val="00CE0D7F"/>
    <w:rsid w:val="00CE1175"/>
    <w:rsid w:val="00CE2DB6"/>
    <w:rsid w:val="00CE3195"/>
    <w:rsid w:val="00CE320C"/>
    <w:rsid w:val="00CE4EDE"/>
    <w:rsid w:val="00CE74CC"/>
    <w:rsid w:val="00CF2284"/>
    <w:rsid w:val="00CF2C08"/>
    <w:rsid w:val="00CF400C"/>
    <w:rsid w:val="00CF47DF"/>
    <w:rsid w:val="00D01BD1"/>
    <w:rsid w:val="00D020D3"/>
    <w:rsid w:val="00D031C0"/>
    <w:rsid w:val="00D04E62"/>
    <w:rsid w:val="00D0609A"/>
    <w:rsid w:val="00D06B69"/>
    <w:rsid w:val="00D06F2C"/>
    <w:rsid w:val="00D113A1"/>
    <w:rsid w:val="00D12978"/>
    <w:rsid w:val="00D12BED"/>
    <w:rsid w:val="00D14004"/>
    <w:rsid w:val="00D14872"/>
    <w:rsid w:val="00D158B8"/>
    <w:rsid w:val="00D15E7C"/>
    <w:rsid w:val="00D16406"/>
    <w:rsid w:val="00D2052F"/>
    <w:rsid w:val="00D20ECD"/>
    <w:rsid w:val="00D21477"/>
    <w:rsid w:val="00D22456"/>
    <w:rsid w:val="00D24519"/>
    <w:rsid w:val="00D25DAB"/>
    <w:rsid w:val="00D27846"/>
    <w:rsid w:val="00D27A6C"/>
    <w:rsid w:val="00D30250"/>
    <w:rsid w:val="00D307A0"/>
    <w:rsid w:val="00D30D4C"/>
    <w:rsid w:val="00D320EA"/>
    <w:rsid w:val="00D34F21"/>
    <w:rsid w:val="00D35DB9"/>
    <w:rsid w:val="00D365E0"/>
    <w:rsid w:val="00D36B67"/>
    <w:rsid w:val="00D40967"/>
    <w:rsid w:val="00D4272C"/>
    <w:rsid w:val="00D42809"/>
    <w:rsid w:val="00D44ACC"/>
    <w:rsid w:val="00D44F37"/>
    <w:rsid w:val="00D45678"/>
    <w:rsid w:val="00D45B14"/>
    <w:rsid w:val="00D474F9"/>
    <w:rsid w:val="00D5147D"/>
    <w:rsid w:val="00D52EBB"/>
    <w:rsid w:val="00D53C0A"/>
    <w:rsid w:val="00D5622E"/>
    <w:rsid w:val="00D56A90"/>
    <w:rsid w:val="00D6361F"/>
    <w:rsid w:val="00D64727"/>
    <w:rsid w:val="00D665B8"/>
    <w:rsid w:val="00D67403"/>
    <w:rsid w:val="00D70985"/>
    <w:rsid w:val="00D70C0D"/>
    <w:rsid w:val="00D72BC9"/>
    <w:rsid w:val="00D80D77"/>
    <w:rsid w:val="00D81781"/>
    <w:rsid w:val="00D81E00"/>
    <w:rsid w:val="00D84352"/>
    <w:rsid w:val="00D85FC0"/>
    <w:rsid w:val="00D861E5"/>
    <w:rsid w:val="00D87EEF"/>
    <w:rsid w:val="00D901FB"/>
    <w:rsid w:val="00D91482"/>
    <w:rsid w:val="00D93AFF"/>
    <w:rsid w:val="00D93DE7"/>
    <w:rsid w:val="00D947E1"/>
    <w:rsid w:val="00D94B13"/>
    <w:rsid w:val="00D94C47"/>
    <w:rsid w:val="00D95AA4"/>
    <w:rsid w:val="00D95B0F"/>
    <w:rsid w:val="00D96D5C"/>
    <w:rsid w:val="00D976F3"/>
    <w:rsid w:val="00DA013D"/>
    <w:rsid w:val="00DA204C"/>
    <w:rsid w:val="00DA2423"/>
    <w:rsid w:val="00DA3389"/>
    <w:rsid w:val="00DA3C95"/>
    <w:rsid w:val="00DA54FA"/>
    <w:rsid w:val="00DA5D89"/>
    <w:rsid w:val="00DA677C"/>
    <w:rsid w:val="00DB1D45"/>
    <w:rsid w:val="00DB239A"/>
    <w:rsid w:val="00DB29C6"/>
    <w:rsid w:val="00DB3FFB"/>
    <w:rsid w:val="00DB5162"/>
    <w:rsid w:val="00DB60F8"/>
    <w:rsid w:val="00DB6605"/>
    <w:rsid w:val="00DC1231"/>
    <w:rsid w:val="00DC2236"/>
    <w:rsid w:val="00DC33E1"/>
    <w:rsid w:val="00DC44E4"/>
    <w:rsid w:val="00DC44E6"/>
    <w:rsid w:val="00DC7EAA"/>
    <w:rsid w:val="00DD0D5D"/>
    <w:rsid w:val="00DD1D70"/>
    <w:rsid w:val="00DD5254"/>
    <w:rsid w:val="00DD59A5"/>
    <w:rsid w:val="00DD620A"/>
    <w:rsid w:val="00DE1238"/>
    <w:rsid w:val="00DE3222"/>
    <w:rsid w:val="00DE33C7"/>
    <w:rsid w:val="00DE3496"/>
    <w:rsid w:val="00DE44DB"/>
    <w:rsid w:val="00DE6CE8"/>
    <w:rsid w:val="00DF2A02"/>
    <w:rsid w:val="00DF317B"/>
    <w:rsid w:val="00DF346C"/>
    <w:rsid w:val="00DF525A"/>
    <w:rsid w:val="00DF571F"/>
    <w:rsid w:val="00DF5A54"/>
    <w:rsid w:val="00DF61C7"/>
    <w:rsid w:val="00E0229A"/>
    <w:rsid w:val="00E042FF"/>
    <w:rsid w:val="00E05936"/>
    <w:rsid w:val="00E05AFB"/>
    <w:rsid w:val="00E05C97"/>
    <w:rsid w:val="00E07D4B"/>
    <w:rsid w:val="00E10ECE"/>
    <w:rsid w:val="00E11959"/>
    <w:rsid w:val="00E12716"/>
    <w:rsid w:val="00E12CA1"/>
    <w:rsid w:val="00E13761"/>
    <w:rsid w:val="00E15802"/>
    <w:rsid w:val="00E15C79"/>
    <w:rsid w:val="00E20769"/>
    <w:rsid w:val="00E211D4"/>
    <w:rsid w:val="00E219C7"/>
    <w:rsid w:val="00E22445"/>
    <w:rsid w:val="00E23512"/>
    <w:rsid w:val="00E25483"/>
    <w:rsid w:val="00E25748"/>
    <w:rsid w:val="00E27EAE"/>
    <w:rsid w:val="00E313A5"/>
    <w:rsid w:val="00E31436"/>
    <w:rsid w:val="00E32333"/>
    <w:rsid w:val="00E325D4"/>
    <w:rsid w:val="00E327ED"/>
    <w:rsid w:val="00E33A83"/>
    <w:rsid w:val="00E35A0B"/>
    <w:rsid w:val="00E37D25"/>
    <w:rsid w:val="00E40313"/>
    <w:rsid w:val="00E404C0"/>
    <w:rsid w:val="00E41E41"/>
    <w:rsid w:val="00E42D2D"/>
    <w:rsid w:val="00E43A87"/>
    <w:rsid w:val="00E44CE1"/>
    <w:rsid w:val="00E45D92"/>
    <w:rsid w:val="00E47E59"/>
    <w:rsid w:val="00E500B7"/>
    <w:rsid w:val="00E51B94"/>
    <w:rsid w:val="00E55C8E"/>
    <w:rsid w:val="00E55EDE"/>
    <w:rsid w:val="00E6060D"/>
    <w:rsid w:val="00E6075C"/>
    <w:rsid w:val="00E61043"/>
    <w:rsid w:val="00E611A7"/>
    <w:rsid w:val="00E614BD"/>
    <w:rsid w:val="00E637DE"/>
    <w:rsid w:val="00E63BDD"/>
    <w:rsid w:val="00E63E6D"/>
    <w:rsid w:val="00E64E46"/>
    <w:rsid w:val="00E650A6"/>
    <w:rsid w:val="00E707F2"/>
    <w:rsid w:val="00E72587"/>
    <w:rsid w:val="00E72E1B"/>
    <w:rsid w:val="00E76362"/>
    <w:rsid w:val="00E801AA"/>
    <w:rsid w:val="00E8307D"/>
    <w:rsid w:val="00E833EB"/>
    <w:rsid w:val="00E84537"/>
    <w:rsid w:val="00E908A9"/>
    <w:rsid w:val="00E93805"/>
    <w:rsid w:val="00E938DE"/>
    <w:rsid w:val="00E94626"/>
    <w:rsid w:val="00E9598C"/>
    <w:rsid w:val="00EA16D2"/>
    <w:rsid w:val="00EA3776"/>
    <w:rsid w:val="00EA56D0"/>
    <w:rsid w:val="00EA59A5"/>
    <w:rsid w:val="00EA6C23"/>
    <w:rsid w:val="00EB09C5"/>
    <w:rsid w:val="00EB56B7"/>
    <w:rsid w:val="00EB6D3D"/>
    <w:rsid w:val="00EB78F2"/>
    <w:rsid w:val="00EB79FC"/>
    <w:rsid w:val="00EC0EA5"/>
    <w:rsid w:val="00EC20F4"/>
    <w:rsid w:val="00EC28B3"/>
    <w:rsid w:val="00EC383D"/>
    <w:rsid w:val="00ED0CB9"/>
    <w:rsid w:val="00ED11A1"/>
    <w:rsid w:val="00ED24B5"/>
    <w:rsid w:val="00ED35EA"/>
    <w:rsid w:val="00ED5519"/>
    <w:rsid w:val="00ED5B5A"/>
    <w:rsid w:val="00ED7128"/>
    <w:rsid w:val="00EE0396"/>
    <w:rsid w:val="00EE341F"/>
    <w:rsid w:val="00EE7754"/>
    <w:rsid w:val="00EE7B83"/>
    <w:rsid w:val="00EF0C7C"/>
    <w:rsid w:val="00EF0E86"/>
    <w:rsid w:val="00EF14A0"/>
    <w:rsid w:val="00EF32BE"/>
    <w:rsid w:val="00EF3D90"/>
    <w:rsid w:val="00EF4D73"/>
    <w:rsid w:val="00F003A0"/>
    <w:rsid w:val="00F01181"/>
    <w:rsid w:val="00F02A01"/>
    <w:rsid w:val="00F033E6"/>
    <w:rsid w:val="00F03A33"/>
    <w:rsid w:val="00F044F0"/>
    <w:rsid w:val="00F05B55"/>
    <w:rsid w:val="00F109F8"/>
    <w:rsid w:val="00F11410"/>
    <w:rsid w:val="00F1330C"/>
    <w:rsid w:val="00F1445F"/>
    <w:rsid w:val="00F1611B"/>
    <w:rsid w:val="00F17565"/>
    <w:rsid w:val="00F20017"/>
    <w:rsid w:val="00F204C4"/>
    <w:rsid w:val="00F21046"/>
    <w:rsid w:val="00F22CD4"/>
    <w:rsid w:val="00F24930"/>
    <w:rsid w:val="00F264D0"/>
    <w:rsid w:val="00F27581"/>
    <w:rsid w:val="00F27591"/>
    <w:rsid w:val="00F277AA"/>
    <w:rsid w:val="00F27D44"/>
    <w:rsid w:val="00F323DE"/>
    <w:rsid w:val="00F32975"/>
    <w:rsid w:val="00F33E92"/>
    <w:rsid w:val="00F34E62"/>
    <w:rsid w:val="00F35FD9"/>
    <w:rsid w:val="00F3637A"/>
    <w:rsid w:val="00F36E9B"/>
    <w:rsid w:val="00F401C2"/>
    <w:rsid w:val="00F418DA"/>
    <w:rsid w:val="00F42619"/>
    <w:rsid w:val="00F43ACB"/>
    <w:rsid w:val="00F444F1"/>
    <w:rsid w:val="00F4519D"/>
    <w:rsid w:val="00F45A17"/>
    <w:rsid w:val="00F47B6F"/>
    <w:rsid w:val="00F51F16"/>
    <w:rsid w:val="00F52BB2"/>
    <w:rsid w:val="00F54214"/>
    <w:rsid w:val="00F54961"/>
    <w:rsid w:val="00F56E81"/>
    <w:rsid w:val="00F6012A"/>
    <w:rsid w:val="00F62F92"/>
    <w:rsid w:val="00F65F61"/>
    <w:rsid w:val="00F6658C"/>
    <w:rsid w:val="00F67B12"/>
    <w:rsid w:val="00F707C2"/>
    <w:rsid w:val="00F72072"/>
    <w:rsid w:val="00F73A10"/>
    <w:rsid w:val="00F73E29"/>
    <w:rsid w:val="00F745CD"/>
    <w:rsid w:val="00F74807"/>
    <w:rsid w:val="00F75419"/>
    <w:rsid w:val="00F75876"/>
    <w:rsid w:val="00F76068"/>
    <w:rsid w:val="00F77BC3"/>
    <w:rsid w:val="00F8064D"/>
    <w:rsid w:val="00F812A7"/>
    <w:rsid w:val="00F8159D"/>
    <w:rsid w:val="00F81690"/>
    <w:rsid w:val="00F84E67"/>
    <w:rsid w:val="00F854F4"/>
    <w:rsid w:val="00F86A48"/>
    <w:rsid w:val="00F876C8"/>
    <w:rsid w:val="00F90195"/>
    <w:rsid w:val="00F938A6"/>
    <w:rsid w:val="00F94723"/>
    <w:rsid w:val="00F947AE"/>
    <w:rsid w:val="00FA1390"/>
    <w:rsid w:val="00FA13E0"/>
    <w:rsid w:val="00FA1A7A"/>
    <w:rsid w:val="00FA2349"/>
    <w:rsid w:val="00FA2B9E"/>
    <w:rsid w:val="00FA3484"/>
    <w:rsid w:val="00FA6774"/>
    <w:rsid w:val="00FB1D06"/>
    <w:rsid w:val="00FB20DF"/>
    <w:rsid w:val="00FB2BEF"/>
    <w:rsid w:val="00FB3BD2"/>
    <w:rsid w:val="00FB4EBA"/>
    <w:rsid w:val="00FB5804"/>
    <w:rsid w:val="00FB6F3A"/>
    <w:rsid w:val="00FB724C"/>
    <w:rsid w:val="00FB7FA1"/>
    <w:rsid w:val="00FC09A1"/>
    <w:rsid w:val="00FC0A8D"/>
    <w:rsid w:val="00FC0AC5"/>
    <w:rsid w:val="00FC1333"/>
    <w:rsid w:val="00FC1861"/>
    <w:rsid w:val="00FC31EE"/>
    <w:rsid w:val="00FC4267"/>
    <w:rsid w:val="00FC44A5"/>
    <w:rsid w:val="00FC5A25"/>
    <w:rsid w:val="00FC789E"/>
    <w:rsid w:val="00FD03F3"/>
    <w:rsid w:val="00FD257C"/>
    <w:rsid w:val="00FD2FC0"/>
    <w:rsid w:val="00FD37C1"/>
    <w:rsid w:val="00FD3AEE"/>
    <w:rsid w:val="00FD5A96"/>
    <w:rsid w:val="00FD6E5C"/>
    <w:rsid w:val="00FD757D"/>
    <w:rsid w:val="00FD7FD8"/>
    <w:rsid w:val="00FE05BC"/>
    <w:rsid w:val="00FE095D"/>
    <w:rsid w:val="00FE09A3"/>
    <w:rsid w:val="00FE1734"/>
    <w:rsid w:val="00FE2A34"/>
    <w:rsid w:val="00FE4262"/>
    <w:rsid w:val="00FE5FBA"/>
    <w:rsid w:val="00FF0D08"/>
    <w:rsid w:val="00FF2F2C"/>
    <w:rsid w:val="00FF2F6D"/>
    <w:rsid w:val="00FF3A0A"/>
    <w:rsid w:val="00FF47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80E83"/>
  <w15:docId w15:val="{1C16FA63-E2D6-44A2-A2F2-5DDF9B5D8EC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F10"/>
    <w:pPr>
      <w:spacing w:line="480" w:lineRule="auto" w:before="0" w:after="0"/>
    </w:pPr>
    <w:rPr>
      <w:rFonts w:ascii="Times New Roman" w:eastAsia="Times New Roman" w:hAnsi="Times New Roman" w:cs="Cordia New"/>
      <w:sz w:val="20"/>
    </w:rPr>
  </w:style>
  <w:style w:type="paragraph" w:styleId="1">
    <w:name w:val="heading 1"/>
    <w:aliases w:val="EPDE Section"/>
    <w:basedOn w:val="a"/>
    <w:next w:val="a0"/>
    <w:link w:val="10"/>
    <w:qFormat/>
    <w:rsid w:val="005C6A05"/>
    <w:pPr>
      <w:keepNext/>
      <w:spacing w:before="0" w:after="0" w:line="480" w:lineRule="auto"/>
      <w:outlineLvl w:val="0"/>
    </w:pPr>
    <w:rPr>
      <w:rFonts w:ascii="Times New Roman" w:eastAsia="Times New Roman" w:hAnsi="Times New Roman" w:cs="Angsana New"/>
      <w:b/>
      <w:i w:val="0"/>
      <w:color w:val="000000"/>
      <w:kern w:val="28"/>
      <w:sz w:val="20"/>
      <w:szCs w:val="24"/>
      <w:lang w:val="en-AU" w:eastAsia="zh-TW" w:bidi="ar-SA"/>
    </w:rPr>
  </w:style>
  <w:style w:type="paragraph" w:styleId="2">
    <w:name w:val="heading 2"/>
    <w:aliases w:val="EPDE Sub-section"/>
    <w:basedOn w:val="a"/>
    <w:next w:val="a0"/>
    <w:link w:val="20"/>
    <w:qFormat/>
    <w:rsid w:val="005C6A05"/>
    <w:pPr>
      <w:keepNext/>
      <w:spacing w:before="0" w:after="0" w:line="480" w:lineRule="auto"/>
      <w:outlineLvl w:val="1"/>
    </w:pPr>
    <w:rPr>
      <w:rFonts w:ascii="Times New Roman" w:eastAsia="Times New Roman" w:hAnsi="Times New Roman" w:cs="Arial"/>
      <w:b/>
      <w:bCs/>
      <w:i/>
      <w:iCs/>
      <w:color w:val="000000"/>
      <w:sz w:val="20"/>
      <w:lang w:val="en-AU" w:eastAsia="en-AU" w:bidi="ar-SA"/>
    </w:rPr>
  </w:style>
  <w:style w:type="paragraph" w:styleId="3">
    <w:name w:val="heading 3"/>
    <w:aliases w:val="EPDE Sub-sub-section"/>
    <w:basedOn w:val="a"/>
    <w:next w:val="a0"/>
    <w:link w:val="30"/>
    <w:qFormat/>
    <w:rsid w:val="005C6A05"/>
    <w:pPr>
      <w:keepNext/>
      <w:numPr>
        <w:ilvl w:val="2"/>
        <w:numId w:val="16"/>
      </w:numPr>
      <w:spacing w:before="120" w:after="120" w:line="240" w:lineRule="auto"/>
      <w:outlineLvl w:val="2"/>
    </w:pPr>
    <w:rPr>
      <w:rFonts w:ascii="Times" w:eastAsia="Times New Roman" w:hAnsi="Times" w:cs="Arial"/>
      <w:bCs/>
      <w:i/>
      <w:szCs w:val="26"/>
      <w:lang w:val="en-AU" w:eastAsia="en-AU" w:bidi="ar-SA"/>
    </w:rPr>
  </w:style>
  <w:style w:type="paragraph" w:styleId="4">
    <w:name w:val="heading 4"/>
    <w:aliases w:val="EPDE Sub-Section"/>
    <w:basedOn w:val="a"/>
    <w:next w:val="a"/>
    <w:link w:val="40"/>
    <w:qFormat/>
    <w:rsid w:val="005C6A05"/>
    <w:pPr>
      <w:keepNext/>
      <w:numPr>
        <w:ilvl w:val="3"/>
        <w:numId w:val="16"/>
      </w:numPr>
      <w:spacing w:before="240" w:after="60" w:line="240" w:lineRule="auto"/>
      <w:outlineLvl w:val="3"/>
    </w:pPr>
    <w:rPr>
      <w:rFonts w:ascii="Times New Roman" w:eastAsia="Times New Roman" w:hAnsi="Times New Roman" w:cs="Angsana New"/>
      <w:b/>
      <w:bCs/>
      <w:sz w:val="28"/>
      <w:lang w:val="en-AU" w:eastAsia="en-AU" w:bidi="ar-SA"/>
    </w:rPr>
  </w:style>
  <w:style w:type="paragraph" w:styleId="5">
    <w:name w:val="heading 5"/>
    <w:basedOn w:val="a"/>
    <w:next w:val="a"/>
    <w:link w:val="50"/>
    <w:qFormat/>
    <w:rsid w:val="005C6A05"/>
    <w:pPr>
      <w:numPr>
        <w:ilvl w:val="4"/>
        <w:numId w:val="16"/>
      </w:num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  <w:lang w:val="en-AU" w:eastAsia="en-AU" w:bidi="ar-SA"/>
    </w:rPr>
  </w:style>
  <w:style w:type="paragraph" w:styleId="6">
    <w:name w:val="heading 6"/>
    <w:basedOn w:val="a"/>
    <w:next w:val="a"/>
    <w:link w:val="60"/>
    <w:qFormat/>
    <w:rsid w:val="005C6A05"/>
    <w:pPr>
      <w:numPr>
        <w:ilvl w:val="5"/>
        <w:numId w:val="16"/>
      </w:numPr>
      <w:spacing w:before="240" w:after="60" w:line="240" w:lineRule="auto"/>
      <w:outlineLvl w:val="5"/>
    </w:pPr>
    <w:rPr>
      <w:rFonts w:ascii="Times New Roman" w:eastAsia="Times New Roman" w:hAnsi="Times New Roman" w:cs="Angsana New"/>
      <w:b/>
      <w:bCs/>
      <w:szCs w:val="22"/>
      <w:lang w:val="en-AU" w:eastAsia="en-AU" w:bidi="ar-SA"/>
    </w:rPr>
  </w:style>
  <w:style w:type="paragraph" w:styleId="7">
    <w:name w:val="heading 7"/>
    <w:basedOn w:val="a"/>
    <w:next w:val="a"/>
    <w:link w:val="70"/>
    <w:qFormat/>
    <w:rsid w:val="005C6A05"/>
    <w:pPr>
      <w:numPr>
        <w:ilvl w:val="6"/>
        <w:numId w:val="16"/>
      </w:numPr>
      <w:spacing w:before="240" w:after="60" w:line="240" w:lineRule="auto"/>
      <w:outlineLvl w:val="6"/>
    </w:pPr>
    <w:rPr>
      <w:rFonts w:ascii="Times New Roman" w:eastAsia="Times New Roman" w:hAnsi="Times New Roman" w:cs="Angsana New"/>
      <w:sz w:val="24"/>
      <w:szCs w:val="24"/>
      <w:lang w:val="en-AU" w:eastAsia="en-AU" w:bidi="ar-SA"/>
    </w:rPr>
  </w:style>
  <w:style w:type="paragraph" w:styleId="8">
    <w:name w:val="heading 8"/>
    <w:basedOn w:val="a"/>
    <w:next w:val="a"/>
    <w:link w:val="80"/>
    <w:qFormat/>
    <w:rsid w:val="005C6A05"/>
    <w:pPr>
      <w:numPr>
        <w:ilvl w:val="7"/>
        <w:numId w:val="16"/>
      </w:numPr>
      <w:spacing w:before="240" w:after="60" w:line="240" w:lineRule="auto"/>
      <w:outlineLvl w:val="7"/>
    </w:pPr>
    <w:rPr>
      <w:rFonts w:ascii="Times New Roman" w:eastAsia="Times New Roman" w:hAnsi="Times New Roman" w:cs="Angsana New"/>
      <w:i/>
      <w:iCs/>
      <w:sz w:val="24"/>
      <w:szCs w:val="24"/>
      <w:lang w:val="en-AU" w:eastAsia="en-AU" w:bidi="ar-SA"/>
    </w:rPr>
  </w:style>
  <w:style w:type="paragraph" w:styleId="9">
    <w:name w:val="heading 9"/>
    <w:basedOn w:val="a"/>
    <w:next w:val="a"/>
    <w:link w:val="90"/>
    <w:qFormat/>
    <w:rsid w:val="005C6A05"/>
    <w:pPr>
      <w:numPr>
        <w:ilvl w:val="8"/>
        <w:numId w:val="16"/>
      </w:numPr>
      <w:spacing w:before="240" w:after="60" w:line="240" w:lineRule="auto"/>
      <w:outlineLvl w:val="8"/>
    </w:pPr>
    <w:rPr>
      <w:rFonts w:ascii="Arial" w:eastAsia="Times New Roman" w:hAnsi="Arial" w:cs="Arial"/>
      <w:szCs w:val="22"/>
      <w:lang w:val="en-AU" w:eastAsia="en-AU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C46F10"/>
    <w:pPr>
      <w:tabs>
        <w:tab w:val="center" w:pos="4513"/>
        <w:tab w:val="right" w:pos="9026"/>
      </w:tabs>
      <w:spacing w:line="240" w:lineRule="auto"/>
    </w:pPr>
  </w:style>
  <w:style w:type="character" w:customStyle="1" w:styleId="a5">
    <w:name w:val="หัวกระดาษ อักขระ"/>
    <w:basedOn w:val="a1"/>
    <w:link w:val="a4"/>
    <w:uiPriority w:val="99"/>
    <w:rsid w:val="00C46F10"/>
  </w:style>
  <w:style w:type="paragraph" w:styleId="a6">
    <w:name w:val="footer"/>
    <w:basedOn w:val="a"/>
    <w:link w:val="a7"/>
    <w:unhideWhenUsed/>
    <w:rsid w:val="00C46F10"/>
    <w:pPr>
      <w:tabs>
        <w:tab w:val="center" w:pos="4513"/>
        <w:tab w:val="right" w:pos="9026"/>
      </w:tabs>
      <w:spacing w:line="240" w:lineRule="auto"/>
    </w:pPr>
  </w:style>
  <w:style w:type="character" w:customStyle="1" w:styleId="a7">
    <w:name w:val="ท้ายกระดาษ อักขระ"/>
    <w:basedOn w:val="a1"/>
    <w:link w:val="a6"/>
    <w:rsid w:val="00C46F10"/>
  </w:style>
  <w:style w:type="paragraph" w:styleId="a8">
    <w:name w:val="Balloon Text"/>
    <w:basedOn w:val="a"/>
    <w:link w:val="a9"/>
    <w:uiPriority w:val="99"/>
    <w:semiHidden/>
    <w:unhideWhenUsed/>
    <w:rsid w:val="00C46F10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1"/>
    <w:link w:val="a8"/>
    <w:uiPriority w:val="99"/>
    <w:semiHidden/>
    <w:rsid w:val="00C46F10"/>
    <w:rPr>
      <w:rFonts w:ascii="Tahoma" w:hAnsi="Tahoma" w:cs="Angsana New"/>
      <w:sz w:val="16"/>
      <w:szCs w:val="20"/>
    </w:rPr>
  </w:style>
  <w:style w:type="character" w:styleId="aa">
    <w:name w:val="Intense Emphasis"/>
    <w:uiPriority w:val="21"/>
    <w:qFormat/>
    <w:rsid w:val="00C46F10"/>
    <w:rPr>
      <w:b/>
      <w:bCs/>
      <w:i/>
      <w:iCs/>
      <w:color w:val="4F81BD"/>
    </w:rPr>
  </w:style>
  <w:style w:type="character" w:styleId="ab">
    <w:name w:val="annotation reference"/>
    <w:basedOn w:val="a1"/>
    <w:uiPriority w:val="99"/>
    <w:semiHidden/>
    <w:unhideWhenUsed/>
    <w:rsid w:val="00C46F10"/>
    <w:rPr>
      <w:sz w:val="16"/>
      <w:szCs w:val="18"/>
    </w:rPr>
  </w:style>
  <w:style w:type="paragraph" w:styleId="ac">
    <w:name w:val="annotation text"/>
    <w:basedOn w:val="a"/>
    <w:link w:val="ad"/>
    <w:uiPriority w:val="99"/>
    <w:unhideWhenUsed/>
    <w:rsid w:val="00C46F10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1"/>
    <w:link w:val="ac"/>
    <w:uiPriority w:val="99"/>
    <w:rsid w:val="00C46F10"/>
    <w:rPr>
      <w:rFonts w:ascii="Calibri" w:eastAsia="Calibri" w:hAnsi="Calibri" w:cs="Cordia New"/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46F10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C46F10"/>
    <w:rPr>
      <w:rFonts w:ascii="Calibri" w:eastAsia="Calibri" w:hAnsi="Calibri" w:cs="Cordia New"/>
      <w:b/>
      <w:bCs/>
      <w:sz w:val="20"/>
      <w:szCs w:val="25"/>
    </w:rPr>
  </w:style>
  <w:style w:type="paragraph" w:customStyle="1" w:styleId="Els-footnote">
    <w:name w:val="Els-footnote"/>
    <w:rsid w:val="00197EE2"/>
    <w:pPr>
      <w:keepLines/>
      <w:widowControl w:val="0"/>
      <w:spacing w:line="200" w:lineRule="exact"/>
      <w:ind w:left="120" w:hanging="120"/>
    </w:pPr>
    <w:rPr>
      <w:rFonts w:ascii="Times New Roman" w:eastAsia="Times New Roman" w:hAnsi="Times New Roman" w:cs="Angsana New"/>
      <w:sz w:val="16"/>
      <w:szCs w:val="16"/>
    </w:rPr>
  </w:style>
  <w:style w:type="character" w:styleId="af0">
    <w:name w:val="footnote reference"/>
    <w:semiHidden/>
    <w:rsid w:val="00197EE2"/>
    <w:rPr>
      <w:vertAlign w:val="superscript"/>
    </w:rPr>
  </w:style>
  <w:style w:type="paragraph" w:styleId="af1">
    <w:name w:val="No Spacing"/>
    <w:uiPriority w:val="1"/>
    <w:qFormat/>
    <w:rsid w:val="00197EE2"/>
    <w:pPr>
      <w:spacing w:line="240" w:lineRule="auto"/>
    </w:pPr>
    <w:rPr>
      <w:rFonts w:ascii="Calibri" w:eastAsia="Calibri" w:hAnsi="Calibri" w:cs="Cordia New"/>
    </w:rPr>
  </w:style>
  <w:style w:type="paragraph" w:customStyle="1" w:styleId="Els-Abstract-text">
    <w:name w:val="Els-Abstract-text"/>
    <w:rsid w:val="00197EE2"/>
    <w:pPr>
      <w:spacing w:after="220" w:line="220" w:lineRule="exact"/>
      <w:jc w:val="both"/>
    </w:pPr>
    <w:rPr>
      <w:rFonts w:ascii="Times New Roman" w:eastAsia="Times New Roman" w:hAnsi="Times New Roman" w:cs="Angsana New"/>
      <w:sz w:val="18"/>
      <w:szCs w:val="18"/>
    </w:rPr>
  </w:style>
  <w:style w:type="paragraph" w:customStyle="1" w:styleId="Els-Abstract-head">
    <w:name w:val="Els-Abstract-head"/>
    <w:next w:val="Els-Abstract-text"/>
    <w:rsid w:val="00197EE2"/>
    <w:pPr>
      <w:keepNext/>
      <w:pBdr>
        <w:top w:val="single" w:sz="4" w:space="10" w:color="auto"/>
      </w:pBdr>
      <w:suppressAutoHyphens/>
      <w:spacing w:after="220" w:line="220" w:lineRule="exact"/>
    </w:pPr>
    <w:rPr>
      <w:rFonts w:ascii="Times New Roman" w:eastAsia="Times New Roman" w:hAnsi="Times New Roman" w:cs="Angsana New"/>
      <w:b/>
      <w:bCs/>
      <w:sz w:val="18"/>
      <w:szCs w:val="18"/>
    </w:rPr>
  </w:style>
  <w:style w:type="paragraph" w:customStyle="1" w:styleId="Els-2ndorder-head">
    <w:name w:val="Els-2ndorder-head"/>
    <w:next w:val="a"/>
    <w:rsid w:val="005F164B"/>
    <w:pPr>
      <w:keepNext/>
      <w:numPr>
        <w:ilvl w:val="1"/>
        <w:numId w:val="1"/>
      </w:numPr>
      <w:suppressAutoHyphens/>
      <w:spacing w:before="240" w:after="240" w:line="240" w:lineRule="exact"/>
    </w:pPr>
    <w:rPr>
      <w:rFonts w:ascii="Times New Roman" w:eastAsia="Times New Roman" w:hAnsi="Times New Roman" w:cs="Angsana New"/>
      <w:i/>
      <w:iCs/>
      <w:sz w:val="20"/>
      <w:szCs w:val="20"/>
    </w:rPr>
  </w:style>
  <w:style w:type="paragraph" w:customStyle="1" w:styleId="Els-3rdorder-head">
    <w:name w:val="Els-3rdorder-head"/>
    <w:next w:val="a"/>
    <w:rsid w:val="005F164B"/>
    <w:pPr>
      <w:keepNext/>
      <w:numPr>
        <w:ilvl w:val="2"/>
        <w:numId w:val="1"/>
      </w:numPr>
      <w:suppressAutoHyphens/>
      <w:spacing w:before="240" w:line="240" w:lineRule="exact"/>
    </w:pPr>
    <w:rPr>
      <w:rFonts w:ascii="Times New Roman" w:eastAsia="Times New Roman" w:hAnsi="Times New Roman" w:cs="Angsana New"/>
      <w:i/>
      <w:iCs/>
      <w:sz w:val="20"/>
      <w:szCs w:val="20"/>
    </w:rPr>
  </w:style>
  <w:style w:type="paragraph" w:customStyle="1" w:styleId="Els-4thorder-head">
    <w:name w:val="Els-4thorder-head"/>
    <w:next w:val="a"/>
    <w:rsid w:val="005F164B"/>
    <w:pPr>
      <w:keepNext/>
      <w:numPr>
        <w:ilvl w:val="3"/>
        <w:numId w:val="1"/>
      </w:numPr>
      <w:suppressAutoHyphens/>
      <w:spacing w:before="240" w:line="240" w:lineRule="exact"/>
      <w:jc w:val="both"/>
    </w:pPr>
    <w:rPr>
      <w:rFonts w:ascii="Times New Roman" w:eastAsia="Times New Roman" w:hAnsi="Times New Roman" w:cs="Angsana New"/>
      <w:i/>
      <w:iCs/>
      <w:sz w:val="20"/>
      <w:szCs w:val="20"/>
    </w:rPr>
  </w:style>
  <w:style w:type="paragraph" w:customStyle="1" w:styleId="Els-1storder-head">
    <w:name w:val="Els-1storder-head"/>
    <w:next w:val="a"/>
    <w:rsid w:val="005F164B"/>
    <w:pPr>
      <w:keepNext/>
      <w:numPr>
        <w:numId w:val="1"/>
      </w:numPr>
      <w:suppressAutoHyphens/>
      <w:spacing w:before="480" w:after="240" w:line="240" w:lineRule="exact"/>
    </w:pPr>
    <w:rPr>
      <w:rFonts w:ascii="Times New Roman" w:eastAsia="Times New Roman" w:hAnsi="Times New Roman" w:cs="Angsana New"/>
      <w:b/>
      <w:bCs/>
      <w:sz w:val="20"/>
      <w:szCs w:val="20"/>
    </w:rPr>
  </w:style>
  <w:style w:type="paragraph" w:customStyle="1" w:styleId="Els-body-text">
    <w:name w:val="Els-body-text"/>
    <w:rsid w:val="005F164B"/>
    <w:pPr>
      <w:spacing w:line="240" w:lineRule="exact"/>
      <w:ind w:firstLine="240"/>
      <w:jc w:val="both"/>
    </w:pPr>
    <w:rPr>
      <w:rFonts w:ascii="Times New Roman" w:eastAsia="Times New Roman" w:hAnsi="Times New Roman" w:cs="Angsana New"/>
      <w:sz w:val="20"/>
      <w:szCs w:val="20"/>
    </w:rPr>
  </w:style>
  <w:style w:type="paragraph" w:customStyle="1" w:styleId="Els-numlist">
    <w:name w:val="Els-numlist"/>
    <w:basedOn w:val="Els-body-text"/>
    <w:rsid w:val="00B84D25"/>
    <w:pPr>
      <w:numPr>
        <w:numId w:val="2"/>
      </w:numPr>
      <w:tabs>
        <w:tab w:val="left" w:pos="240"/>
      </w:tabs>
      <w:jc w:val="left"/>
    </w:pPr>
  </w:style>
  <w:style w:type="paragraph" w:styleId="af2">
    <w:name w:val="List Paragraph"/>
    <w:basedOn w:val="a"/>
    <w:uiPriority w:val="34"/>
    <w:qFormat/>
    <w:rsid w:val="007900A8"/>
    <w:pPr>
      <w:ind w:left="720"/>
      <w:contextualSpacing/>
    </w:pPr>
  </w:style>
  <w:style w:type="character" w:styleId="af3">
    <w:name w:val="Emphasis"/>
    <w:basedOn w:val="a1"/>
    <w:uiPriority w:val="20"/>
    <w:qFormat/>
    <w:rsid w:val="00182BDB"/>
    <w:rPr>
      <w:i/>
      <w:iCs/>
    </w:rPr>
  </w:style>
  <w:style w:type="character" w:customStyle="1" w:styleId="apple-converted-space">
    <w:name w:val="apple-converted-space"/>
    <w:basedOn w:val="a1"/>
    <w:rsid w:val="00845525"/>
  </w:style>
  <w:style w:type="character" w:styleId="af4">
    <w:name w:val="Hyperlink"/>
    <w:basedOn w:val="a1"/>
    <w:uiPriority w:val="99"/>
    <w:unhideWhenUsed/>
    <w:rsid w:val="00845525"/>
    <w:rPr>
      <w:color w:val="0000FF"/>
      <w:u w:val="single"/>
    </w:rPr>
  </w:style>
  <w:style w:type="character" w:styleId="af5">
    <w:name w:val="line number"/>
    <w:basedOn w:val="a1"/>
    <w:uiPriority w:val="99"/>
    <w:semiHidden/>
    <w:unhideWhenUsed/>
    <w:rsid w:val="00852A93"/>
  </w:style>
  <w:style w:type="paragraph" w:styleId="a0">
    <w:name w:val="Body Text"/>
    <w:basedOn w:val="a"/>
    <w:link w:val="af6"/>
    <w:uiPriority w:val="99"/>
    <w:unhideWhenUsed/>
    <w:rsid w:val="00F35FD9"/>
    <w:pPr>
      <w:spacing w:after="120"/>
    </w:pPr>
  </w:style>
  <w:style w:type="character" w:customStyle="1" w:styleId="af6">
    <w:name w:val="เนื้อความ อักขระ"/>
    <w:basedOn w:val="a1"/>
    <w:link w:val="a0"/>
    <w:uiPriority w:val="99"/>
    <w:rsid w:val="00F35FD9"/>
    <w:rPr>
      <w:rFonts w:ascii="Calibri" w:eastAsia="Calibri" w:hAnsi="Calibri" w:cs="Cordia New"/>
    </w:rPr>
  </w:style>
  <w:style w:type="paragraph" w:styleId="af7">
    <w:name w:val="Body Text First Indent"/>
    <w:basedOn w:val="a0"/>
    <w:link w:val="af8"/>
    <w:rsid w:val="00F35FD9"/>
    <w:pPr>
      <w:overflowPunct w:val="0"/>
      <w:autoSpaceDE w:val="0"/>
      <w:autoSpaceDN w:val="0"/>
      <w:adjustRightInd w:val="0"/>
      <w:spacing w:line="200" w:lineRule="atLeast"/>
      <w:ind w:firstLine="210"/>
      <w:jc w:val="both"/>
      <w:textAlignment w:val="baseline"/>
    </w:pPr>
    <w:rPr>
      <w:rFonts w:ascii="Arial" w:eastAsia="Times New Roman" w:hAnsi="Arial" w:cs="Angsana New"/>
      <w:sz w:val="18"/>
      <w:szCs w:val="20"/>
      <w:lang w:val="fr-FR" w:bidi="ar-SA"/>
    </w:rPr>
  </w:style>
  <w:style w:type="character" w:customStyle="1" w:styleId="af8">
    <w:name w:val="เยื้องย่อหน้าแรกของเนื้อความ อักขระ"/>
    <w:basedOn w:val="af6"/>
    <w:link w:val="af7"/>
    <w:rsid w:val="00F35FD9"/>
    <w:rPr>
      <w:rFonts w:ascii="Arial" w:eastAsia="Times New Roman" w:hAnsi="Arial" w:cs="Angsana New"/>
      <w:sz w:val="18"/>
      <w:szCs w:val="20"/>
      <w:lang w:val="fr-FR" w:bidi="ar-SA"/>
    </w:rPr>
  </w:style>
  <w:style w:type="character" w:styleId="af9">
    <w:name w:val="Placeholder Text"/>
    <w:basedOn w:val="a1"/>
    <w:uiPriority w:val="99"/>
    <w:semiHidden/>
    <w:rsid w:val="00FE4262"/>
    <w:rPr>
      <w:color w:val="808080"/>
    </w:rPr>
  </w:style>
  <w:style w:type="paragraph" w:styleId="afa">
    <w:name w:val="Title"/>
    <w:basedOn w:val="a"/>
    <w:link w:val="afb"/>
    <w:qFormat/>
    <w:rsid w:val="005734F0"/>
    <w:pPr>
      <w:overflowPunct w:val="0"/>
      <w:autoSpaceDE w:val="0"/>
      <w:autoSpaceDN w:val="0"/>
      <w:adjustRightInd w:val="0"/>
      <w:spacing w:before="240" w:after="60" w:line="200" w:lineRule="atLeast"/>
      <w:jc w:val="center"/>
      <w:textAlignment w:val="baseline"/>
    </w:pPr>
    <w:rPr>
      <w:rFonts w:ascii="Arial" w:eastAsia="Times New Roman" w:hAnsi="Arial" w:cs="Angsana New"/>
      <w:b/>
      <w:kern w:val="28"/>
      <w:sz w:val="32"/>
      <w:szCs w:val="20"/>
      <w:lang w:val="fr-FR" w:bidi="ar-SA"/>
    </w:rPr>
  </w:style>
  <w:style w:type="character" w:customStyle="1" w:styleId="afb">
    <w:name w:val="ชื่อเรื่อง อักขระ"/>
    <w:basedOn w:val="a1"/>
    <w:link w:val="afa"/>
    <w:rsid w:val="005734F0"/>
    <w:rPr>
      <w:rFonts w:ascii="Arial" w:eastAsia="Times New Roman" w:hAnsi="Arial" w:cs="Angsana New"/>
      <w:b/>
      <w:kern w:val="28"/>
      <w:sz w:val="32"/>
      <w:szCs w:val="20"/>
      <w:lang w:val="fr-FR" w:bidi="ar-SA"/>
    </w:rPr>
  </w:style>
  <w:style w:type="paragraph" w:styleId="afc">
    <w:name w:val="envelope address"/>
    <w:basedOn w:val="a"/>
    <w:next w:val="a"/>
    <w:rsid w:val="00135316"/>
    <w:pPr>
      <w:overflowPunct w:val="0"/>
      <w:autoSpaceDE w:val="0"/>
      <w:autoSpaceDN w:val="0"/>
      <w:adjustRightInd w:val="0"/>
      <w:spacing w:before="60" w:after="60" w:line="200" w:lineRule="atLeast"/>
      <w:jc w:val="center"/>
      <w:textAlignment w:val="baseline"/>
    </w:pPr>
    <w:rPr>
      <w:rFonts w:ascii="Arial" w:eastAsia="Times New Roman" w:hAnsi="Arial" w:cs="Angsana New"/>
      <w:sz w:val="18"/>
      <w:szCs w:val="20"/>
      <w:lang w:val="fr-FR" w:bidi="ar-SA"/>
    </w:rPr>
  </w:style>
  <w:style w:type="paragraph" w:styleId="afd">
    <w:name w:val="Revision"/>
    <w:hidden/>
    <w:uiPriority w:val="99"/>
    <w:semiHidden/>
    <w:rsid w:val="00D113A1"/>
    <w:pPr>
      <w:spacing w:line="240" w:lineRule="auto"/>
    </w:pPr>
    <w:rPr>
      <w:rFonts w:ascii="Calibri" w:eastAsia="Calibri" w:hAnsi="Calibri" w:cs="Cordia New"/>
    </w:rPr>
  </w:style>
  <w:style w:type="character" w:customStyle="1" w:styleId="UnresolvedMention1">
    <w:name w:val="Unresolved Mention1"/>
    <w:basedOn w:val="a1"/>
    <w:uiPriority w:val="99"/>
    <w:semiHidden/>
    <w:unhideWhenUsed/>
    <w:rsid w:val="006654A0"/>
    <w:rPr>
      <w:color w:val="605E5C"/>
      <w:shd w:val="clear" w:color="auto" w:fill="E1DFDD"/>
    </w:rPr>
  </w:style>
  <w:style w:type="paragraph" w:customStyle="1" w:styleId="Default">
    <w:name w:val="Default"/>
    <w:rsid w:val="005E2FFC"/>
    <w:pPr>
      <w:autoSpaceDE w:val="0"/>
      <w:autoSpaceDN w:val="0"/>
      <w:adjustRightInd w:val="0"/>
      <w:spacing w:line="240" w:lineRule="auto"/>
    </w:pPr>
    <w:rPr>
      <w:rFonts w:ascii="CM R 10" w:hAnsi="CM R 10" w:cs="CM R 10"/>
      <w:color w:val="000000"/>
      <w:sz w:val="24"/>
      <w:szCs w:val="24"/>
    </w:rPr>
  </w:style>
  <w:style w:type="character" w:customStyle="1" w:styleId="UnresolvedMention2">
    <w:name w:val="Unresolved Mention2"/>
    <w:basedOn w:val="a1"/>
    <w:uiPriority w:val="99"/>
    <w:semiHidden/>
    <w:unhideWhenUsed/>
    <w:rsid w:val="007C18A8"/>
    <w:rPr>
      <w:color w:val="605E5C"/>
      <w:shd w:val="clear" w:color="auto" w:fill="E1DFDD"/>
    </w:rPr>
  </w:style>
  <w:style w:type="paragraph" w:styleId="afe">
    <w:name w:val="Normal (Web)"/>
    <w:basedOn w:val="a"/>
    <w:uiPriority w:val="99"/>
    <w:unhideWhenUsed/>
    <w:rsid w:val="0098516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ff">
    <w:name w:val="Table Grid"/>
    <w:basedOn w:val="a2"/>
    <w:uiPriority w:val="39"/>
    <w:rsid w:val="0098516E"/>
    <w:pPr>
      <w:spacing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aliases w:val="EPDE Section อักขระ"/>
    <w:basedOn w:val="a1"/>
    <w:link w:val="1"/>
    <w:rsid w:val="005C6A05"/>
    <w:rPr>
      <w:rFonts w:ascii="Times" w:eastAsia="Times" w:hAnsi="Times" w:cs="Angsana New"/>
      <w:b/>
      <w:caps/>
      <w:kern w:val="28"/>
      <w:sz w:val="24"/>
      <w:szCs w:val="24"/>
      <w:lang w:val="en-AU" w:eastAsia="zh-TW" w:bidi="ar-SA"/>
    </w:rPr>
  </w:style>
  <w:style w:type="character" w:customStyle="1" w:styleId="20">
    <w:name w:val="หัวเรื่อง 2 อักขระ"/>
    <w:aliases w:val="EPDE Sub-section อักขระ"/>
    <w:basedOn w:val="a1"/>
    <w:link w:val="2"/>
    <w:rsid w:val="005C6A05"/>
    <w:rPr>
      <w:rFonts w:ascii="Times" w:eastAsia="Times New Roman" w:hAnsi="Times" w:cs="Arial"/>
      <w:b/>
      <w:bCs/>
      <w:i/>
      <w:iCs/>
      <w:sz w:val="24"/>
      <w:lang w:val="en-AU" w:eastAsia="en-AU" w:bidi="ar-SA"/>
    </w:rPr>
  </w:style>
  <w:style w:type="character" w:customStyle="1" w:styleId="30">
    <w:name w:val="หัวเรื่อง 3 อักขระ"/>
    <w:aliases w:val="EPDE Sub-sub-section อักขระ"/>
    <w:basedOn w:val="a1"/>
    <w:link w:val="3"/>
    <w:rsid w:val="005C6A05"/>
    <w:rPr>
      <w:rFonts w:ascii="Times" w:eastAsia="Times New Roman" w:hAnsi="Times" w:cs="Arial"/>
      <w:bCs/>
      <w:i/>
      <w:szCs w:val="26"/>
      <w:lang w:val="en-AU" w:eastAsia="en-AU" w:bidi="ar-SA"/>
    </w:rPr>
  </w:style>
  <w:style w:type="character" w:customStyle="1" w:styleId="40">
    <w:name w:val="หัวเรื่อง 4 อักขระ"/>
    <w:aliases w:val="EPDE Sub-Section อักขระ"/>
    <w:basedOn w:val="a1"/>
    <w:link w:val="4"/>
    <w:rsid w:val="005C6A05"/>
    <w:rPr>
      <w:rFonts w:ascii="Times New Roman" w:eastAsia="Times New Roman" w:hAnsi="Times New Roman" w:cs="Angsana New"/>
      <w:b/>
      <w:bCs/>
      <w:sz w:val="28"/>
      <w:lang w:val="en-AU" w:eastAsia="en-AU" w:bidi="ar-SA"/>
    </w:rPr>
  </w:style>
  <w:style w:type="character" w:customStyle="1" w:styleId="50">
    <w:name w:val="หัวเรื่อง 5 อักขระ"/>
    <w:basedOn w:val="a1"/>
    <w:link w:val="5"/>
    <w:rsid w:val="005C6A05"/>
    <w:rPr>
      <w:rFonts w:ascii="Times New Roman" w:eastAsia="Times New Roman" w:hAnsi="Times New Roman" w:cs="Angsana New"/>
      <w:b/>
      <w:bCs/>
      <w:i/>
      <w:iCs/>
      <w:sz w:val="26"/>
      <w:szCs w:val="26"/>
      <w:lang w:val="en-AU" w:eastAsia="en-AU" w:bidi="ar-SA"/>
    </w:rPr>
  </w:style>
  <w:style w:type="character" w:customStyle="1" w:styleId="60">
    <w:name w:val="หัวเรื่อง 6 อักขระ"/>
    <w:basedOn w:val="a1"/>
    <w:link w:val="6"/>
    <w:rsid w:val="005C6A05"/>
    <w:rPr>
      <w:rFonts w:ascii="Times New Roman" w:eastAsia="Times New Roman" w:hAnsi="Times New Roman" w:cs="Angsana New"/>
      <w:b/>
      <w:bCs/>
      <w:szCs w:val="22"/>
      <w:lang w:val="en-AU" w:eastAsia="en-AU" w:bidi="ar-SA"/>
    </w:rPr>
  </w:style>
  <w:style w:type="character" w:customStyle="1" w:styleId="70">
    <w:name w:val="หัวเรื่อง 7 อักขระ"/>
    <w:basedOn w:val="a1"/>
    <w:link w:val="7"/>
    <w:rsid w:val="005C6A05"/>
    <w:rPr>
      <w:rFonts w:ascii="Times New Roman" w:eastAsia="Times New Roman" w:hAnsi="Times New Roman" w:cs="Angsana New"/>
      <w:sz w:val="24"/>
      <w:szCs w:val="24"/>
      <w:lang w:val="en-AU" w:eastAsia="en-AU" w:bidi="ar-SA"/>
    </w:rPr>
  </w:style>
  <w:style w:type="character" w:customStyle="1" w:styleId="80">
    <w:name w:val="หัวเรื่อง 8 อักขระ"/>
    <w:basedOn w:val="a1"/>
    <w:link w:val="8"/>
    <w:rsid w:val="005C6A05"/>
    <w:rPr>
      <w:rFonts w:ascii="Times New Roman" w:eastAsia="Times New Roman" w:hAnsi="Times New Roman" w:cs="Angsana New"/>
      <w:i/>
      <w:iCs/>
      <w:sz w:val="24"/>
      <w:szCs w:val="24"/>
      <w:lang w:val="en-AU" w:eastAsia="en-AU" w:bidi="ar-SA"/>
    </w:rPr>
  </w:style>
  <w:style w:type="character" w:customStyle="1" w:styleId="90">
    <w:name w:val="หัวเรื่อง 9 อักขระ"/>
    <w:basedOn w:val="a1"/>
    <w:link w:val="9"/>
    <w:rsid w:val="005C6A05"/>
    <w:rPr>
      <w:rFonts w:ascii="Arial" w:eastAsia="Times New Roman" w:hAnsi="Arial" w:cs="Arial"/>
      <w:szCs w:val="22"/>
      <w:lang w:val="en-AU" w:eastAsia="en-AU" w:bidi="ar-SA"/>
    </w:rPr>
  </w:style>
  <w:style w:type="character" w:styleId="aff0">
    <w:name w:val="page number"/>
    <w:basedOn w:val="a1"/>
    <w:rsid w:val="005C6A05"/>
  </w:style>
  <w:style w:type="paragraph" w:customStyle="1" w:styleId="p1">
    <w:name w:val="p1"/>
    <w:basedOn w:val="a"/>
    <w:rsid w:val="005C6A05"/>
    <w:pPr>
      <w:spacing w:line="240" w:lineRule="auto"/>
    </w:pPr>
    <w:rPr>
      <w:rFonts w:ascii="Helvetica" w:eastAsia="Batang" w:hAnsi="Helvetica" w:cs="Angsana New"/>
      <w:sz w:val="15"/>
      <w:szCs w:val="15"/>
    </w:rPr>
  </w:style>
  <w:style w:type="paragraph" w:styleId="aff1">
    <w:name w:val="Bibliography"/>
    <w:basedOn w:val="a"/>
    <w:next w:val="a"/>
    <w:uiPriority w:val="37"/>
    <w:unhideWhenUsed/>
    <w:rsid w:val="005C6A05"/>
    <w:pPr>
      <w:tabs>
        <w:tab w:val="left" w:pos="384"/>
      </w:tabs>
      <w:spacing w:after="240" w:line="240" w:lineRule="auto"/>
      <w:ind w:left="384" w:hanging="384"/>
    </w:pPr>
  </w:style>
  <w:style w:type="character" w:customStyle="1" w:styleId="longtext1">
    <w:name w:val="long_text1"/>
    <w:basedOn w:val="a1"/>
    <w:rsid w:val="00D020D3"/>
    <w:rPr>
      <w:sz w:val="20"/>
      <w:szCs w:val="20"/>
    </w:rPr>
  </w:style>
  <w:style w:type="character" w:customStyle="1" w:styleId="UnresolvedMention3">
    <w:name w:val="Unresolved Mention3"/>
    <w:basedOn w:val="a1"/>
    <w:uiPriority w:val="99"/>
    <w:semiHidden/>
    <w:unhideWhenUsed/>
    <w:rsid w:val="00D020D3"/>
    <w:rPr>
      <w:color w:val="808080"/>
      <w:shd w:val="clear" w:color="auto" w:fill="E6E6E6"/>
    </w:rPr>
  </w:style>
  <w:style w:type="character" w:customStyle="1" w:styleId="UnresolvedMention4">
    <w:name w:val="Unresolved Mention4"/>
    <w:basedOn w:val="a1"/>
    <w:uiPriority w:val="99"/>
    <w:semiHidden/>
    <w:unhideWhenUsed/>
    <w:rsid w:val="0033744B"/>
    <w:rPr>
      <w:color w:val="605E5C"/>
      <w:shd w:val="clear" w:color="auto" w:fill="E1DFDD"/>
    </w:rPr>
  </w:style>
  <w:style w:type="paragraph" w:customStyle="1" w:styleId="21">
    <w:name w:val="제목2"/>
    <w:basedOn w:val="a"/>
    <w:link w:val="2Char"/>
    <w:rsid w:val="00882F53"/>
    <w:pPr>
      <w:widowControl w:val="0"/>
      <w:tabs>
        <w:tab w:val="right" w:pos="3969"/>
      </w:tabs>
      <w:adjustRightInd w:val="0"/>
      <w:snapToGrid w:val="0"/>
      <w:spacing w:beforeLines="20" w:before="20" w:line="200" w:lineRule="exact"/>
      <w:jc w:val="center"/>
    </w:pPr>
    <w:rPr>
      <w:rFonts w:ascii="Times New Roman" w:eastAsia="-윤명조120" w:hAnsi="Times New Roman" w:cs="Times New Roman"/>
      <w:bCs/>
      <w:i/>
      <w:snapToGrid w:val="0"/>
      <w:spacing w:val="-2"/>
      <w:sz w:val="16"/>
      <w:szCs w:val="20"/>
      <w:lang w:eastAsia="ja-JP" w:bidi="ar-SA"/>
    </w:rPr>
  </w:style>
  <w:style w:type="character" w:customStyle="1" w:styleId="2Char">
    <w:name w:val="제목2 Char"/>
    <w:link w:val="21"/>
    <w:rsid w:val="00882F53"/>
    <w:rPr>
      <w:rFonts w:ascii="Times New Roman" w:eastAsia="-윤명조120" w:hAnsi="Times New Roman" w:cs="Times New Roman"/>
      <w:bCs/>
      <w:i/>
      <w:snapToGrid w:val="0"/>
      <w:spacing w:val="-2"/>
      <w:sz w:val="16"/>
      <w:szCs w:val="20"/>
      <w:lang w:eastAsia="ja-JP" w:bidi="ar-SA"/>
    </w:rPr>
  </w:style>
  <w:style w:type="paragraph" w:customStyle="1" w:styleId="203">
    <w:name w:val="스타일 제목 2 + 단락 뒤: 0.3 줄"/>
    <w:basedOn w:val="2"/>
    <w:link w:val="203Char"/>
    <w:rsid w:val="002F1953"/>
    <w:pPr>
      <w:keepNext w:val="0"/>
      <w:widowControl w:val="0"/>
      <w:numPr>
        <w:ilvl w:val="0"/>
        <w:numId w:val="0"/>
      </w:numPr>
      <w:adjustRightInd w:val="0"/>
      <w:snapToGrid w:val="0"/>
      <w:spacing w:before="0" w:afterLines="30" w:after="108"/>
    </w:pPr>
    <w:rPr>
      <w:rFonts w:ascii="Times New Roman" w:eastAsia="MS Mincho" w:hAnsi="Times New Roman" w:cs="Batang"/>
      <w:i w:val="0"/>
      <w:iCs w:val="0"/>
      <w:snapToGrid w:val="0"/>
      <w:sz w:val="20"/>
      <w:szCs w:val="20"/>
      <w:lang w:val="en-US" w:eastAsia="ja-JP"/>
    </w:rPr>
  </w:style>
  <w:style w:type="character" w:customStyle="1" w:styleId="203Char">
    <w:name w:val="스타일 제목 2 + 단락 뒤: 0.3 줄 Char"/>
    <w:link w:val="203"/>
    <w:rsid w:val="002F1953"/>
    <w:rPr>
      <w:rFonts w:ascii="Times New Roman" w:eastAsia="MS Mincho" w:hAnsi="Times New Roman" w:cs="Batang"/>
      <w:b/>
      <w:bCs/>
      <w:snapToGrid w:val="0"/>
      <w:sz w:val="20"/>
      <w:szCs w:val="20"/>
      <w:lang w:eastAsia="ja-JP" w:bidi="ar-SA"/>
    </w:rPr>
  </w:style>
  <w:style w:type="paragraph" w:customStyle="1" w:styleId="whitespace-normal">
    <w:name w:val="whitespace-normal"/>
    <w:basedOn w:val="a"/>
    <w:rsid w:val="00351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1"/>
    <w:uiPriority w:val="22"/>
    <w:qFormat/>
    <w:rsid w:val="00351A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fao.org/ag%20/againfo/themes/en/meat/backgr_composition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F75B16-0798-4BDB-882F-C8A4183E4F6E}">
  <we:reference id="wa102925879" version="1.2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D179C-7CF9-4880-B1EE-FC26C0AF7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1589</Words>
  <Characters>9061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Khon Kaen University</Company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Information: Uttaradit CMIP6 baseline-source sensitivity</dc:title>
  <dc:subject>Audited supplementary tables and trend-test diagnostic</dc:subject>
  <dc:creator>[Authors to be supplied]</dc:creator>
  <cp:keywords/>
  <dc:description>Uses only previously audited analytical outputs; author metadata require confirmation.</dc:description>
  <cp:lastModifiedBy/>
  <cp:revision>2</cp:revision>
  <cp:lastPrinted>2019-12-26T07:37:00Z</cp:lastPrinted>
  <dcterms:created xsi:type="dcterms:W3CDTF">2026-08-29T12:06:00Z</dcterms:created>
  <dcterms:modified xsi:type="dcterms:W3CDTF">2026-08-29T12:06:00Z</dcterms:modified>
</cp:coreProperties>
</file>