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2AD19" w14:textId="77777777" w:rsidR="00C94FE6" w:rsidRDefault="00000000">
      <w:pPr>
        <w:keepNext/>
        <w:jc w:val="center"/>
      </w:pPr>
      <w:r>
        <w:rPr>
          <w:b/>
          <w:color w:val="000000"/>
          <w:sz w:val="24"/>
        </w:rPr>
        <w:t>Baseline sensitivity and robustness of bias-corrected CMIP6 daily precipitation-extreme projections for Uttaradit Province, Thailand</w:t>
      </w:r>
    </w:p>
    <w:p w14:paraId="082788A1" w14:textId="77777777" w:rsidR="00C94FE6" w:rsidRDefault="00000000">
      <w:pPr>
        <w:keepNext/>
        <w:jc w:val="center"/>
      </w:pPr>
      <w:r>
        <w:rPr>
          <w:color w:val="000000"/>
        </w:rPr>
        <w:t>[Author 1 full name]1, [Author 2 full name]1 and [Corresponding author full name]1,</w:t>
      </w:r>
    </w:p>
    <w:p w14:paraId="6FB13538" w14:textId="77777777" w:rsidR="00C94FE6" w:rsidRDefault="00000000">
      <w:pPr>
        <w:keepNext/>
        <w:jc w:val="center"/>
      </w:pPr>
      <w:r>
        <w:rPr>
          <w:color w:val="000000"/>
        </w:rPr>
        <w:t>1 [Department, Institution, City, Postal code, Country]</w:t>
      </w:r>
    </w:p>
    <w:p w14:paraId="7C53900A" w14:textId="77777777" w:rsidR="00C94FE6" w:rsidRDefault="00000000">
      <w:pPr>
        <w:keepNext/>
        <w:jc w:val="center"/>
      </w:pPr>
      <w:r>
        <w:rPr>
          <w:i/>
          <w:color w:val="000000"/>
        </w:rPr>
        <w:t>Corresponding author: [email address]</w:t>
      </w:r>
    </w:p>
    <w:p w14:paraId="2CC9C2A6" w14:textId="77777777" w:rsidR="00C94FE6" w:rsidRPr="00974803" w:rsidRDefault="00000000">
      <w:pPr>
        <w:pStyle w:val="1"/>
        <w:keepLines/>
        <w:rPr>
          <w:rFonts w:hint="cs"/>
          <w:cs/>
          <w:lang w:bidi="th-TH"/>
        </w:rPr>
      </w:pPr>
      <w:r>
        <w:t>Abstract</w:t>
      </w:r>
    </w:p>
    <w:p w14:paraId="533D2D40" w14:textId="77777777" w:rsidR="00C94FE6" w:rsidRDefault="00000000">
      <w:pPr>
        <w:jc w:val="both"/>
      </w:pPr>
      <w:r>
        <w:rPr>
          <w:color w:val="000000"/>
        </w:rPr>
        <w:t>Reliable local projections of rainfall extremes require both climate-model evaluation and a change estimand that is not confounded by residual historical bias. This study audited and independently recomputed a supplied workflow comprising daily rainfall observations from 13 gauges in Uttaradit Province (1981–2014), seven CMIP6 models, bias-corrected historical and future series, SSP2-4.5 and SSP5-8.5, and 11 precipitation-extreme indices. Future changes were calculated for non-overlapping near- (2021–2040), mid- (2041–2060), and long-term (2081–2100) periods relative to 1995–2014. The primary estimand compared each model's future period with its own bias-corrected historical simulation; a direct future-versus-observed comparison was retained as a sensitivity test. Bias correction reduced median daily percentage bias from −21.9% to −9.0% and raised monthly correlation from 0.272 to 0.441, but median daily RMSE increased from 10.18 to 11.84 mm day−1. Residual biases remained large for CDD (+29.6%), CWD (−64.1%), R95p (+22.1%), and R99p (+20.7%). Changing the baseline source from observations to each model's corrected historical series reversed the projected sign for 25 of 66 scenario–period–index combinations and changed the robustness class for 37. With a model-consistent baseline, SSP2-4.5 showed robust mid-century increases in Rx5day (+12.5%) and R99p (+26.5%), whereas SSP5-8.5 showed robust long-term reductions in PRCPTOT (−46.7%), SDII (−27.7%), Rx5day (−25.2%), R99p (−62.6%), and CWD (−14.0%); CDD remained ambiguous. Baseline definition and bias-correction provenance therefore materially govern local hazard interpretation and should be audited before adaptation use.</w:t>
      </w:r>
    </w:p>
    <w:p w14:paraId="6CFDCD02" w14:textId="77777777" w:rsidR="00C94FE6" w:rsidRDefault="00000000">
      <w:pPr>
        <w:jc w:val="both"/>
      </w:pPr>
      <w:r>
        <w:rPr>
          <w:b/>
          <w:color w:val="000000"/>
        </w:rPr>
        <w:t xml:space="preserve">Keywords: </w:t>
      </w:r>
      <w:r>
        <w:rPr>
          <w:color w:val="000000"/>
        </w:rPr>
        <w:t>Bias correction, Climate extremes, CMIP6, Model agreement, Precipitation, SSP scenarios, Thailand, Uncertainty</w:t>
      </w:r>
    </w:p>
    <w:p w14:paraId="5FAEC0FB" w14:textId="77777777" w:rsidR="00C94FE6" w:rsidRDefault="00000000">
      <w:pPr>
        <w:pStyle w:val="1"/>
        <w:keepLines/>
      </w:pPr>
      <w:r>
        <w:t>1. Introduction</w:t>
      </w:r>
    </w:p>
    <w:p w14:paraId="4E2E55BE" w14:textId="77777777" w:rsidR="00C94FE6" w:rsidRDefault="00000000">
      <w:pPr>
        <w:jc w:val="both"/>
      </w:pPr>
      <w:r>
        <w:rPr>
          <w:color w:val="000000"/>
        </w:rPr>
        <w:t xml:space="preserve">Changes in precipitation amount, intensity, and persistence can affect water supply, rain-fed agriculture, drainage design, and ecosystem management. The Sixth Assessment Report of the Intergovernmental Panel on Climate Change (IPCC) concludes that the global water cycle will become more variable and that heavy precipitation is likely to intensify over many parts of Asia, while the direction and seasonal expression of rainfall change remain spatially heterogeneous [1]. The Coupled Model Intercomparison Project Phase 6 (CMIP6) and ScenarioMIP </w:t>
      </w:r>
      <w:r>
        <w:rPr>
          <w:color w:val="000000"/>
        </w:rPr>
        <w:lastRenderedPageBreak/>
        <w:t>provide a coordinated basis for evaluating these changes under alternative forcing pathways [2,3]. Their regional application nevertheless requires careful treatment of model bias, local representativeness, and multimodel uncertainty.</w:t>
      </w:r>
    </w:p>
    <w:p w14:paraId="629C3DD3" w14:textId="77777777" w:rsidR="00C94FE6" w:rsidRDefault="00000000">
      <w:pPr>
        <w:jc w:val="both"/>
      </w:pPr>
      <w:r>
        <w:rPr>
          <w:color w:val="000000"/>
        </w:rPr>
        <w:t>Daily precipitation indices provide information that annual or monthly means cannot. Wet-day totals, maximum 1- and 5-day rainfall, threshold exceedance counts, upper-tail totals, and consecutive wet or dry spells describe distinct components of the rainfall distribution [4,5]. Tung et al. [6] demonstrated how a coherent index framework can connect data evaluation, spatial patterns, temporal behavior, and bounded interpretation. That structure is useful for a projection study, but future simulations introduce an additional question: what historical baseline should define “change”? Daily model distributions can contain wet-day, intensity, and tail errors even when monthly behavior appears plausible [7]. Bias correction can reduce these discrepancies, yet conventional quantile mapping may alter the projected change signal. Quantile delta mapping (QDM) was developed specifically to preserve modeled relative changes in precipitation quantiles [8]. A corrected series should therefore be evaluated not only for historical fit but also for residual bias and change-signal preservation. A complete evaluation should combine correlation and variability diagnostics [9], hydrological efficiency diagnostics [10], and awareness of model performance and interdependence [11].</w:t>
      </w:r>
    </w:p>
    <w:p w14:paraId="1EFCC5C2" w14:textId="77777777" w:rsidR="00C94FE6" w:rsidRDefault="00000000">
      <w:pPr>
        <w:jc w:val="both"/>
      </w:pPr>
      <w:r>
        <w:rPr>
          <w:color w:val="000000"/>
        </w:rPr>
        <w:t>Thailand studies have reported marked model, subregional, and seasonal variation in projected rainfall [12,13]. Uttaradit-specific observational work has also documented spatial rainfall variability and drought concern [14], while recent national, Northern Thailand, and Southern Thailand studies already address CMIP6 extremes, drought, or return periods [15–17]. Consequently, the defensible gap is not the first use of rainfall indices or CMIP6 in the region. It is the effect of analytical choices—particularly residual bias, baseline definition, time-window selection, and ensemble aggregation—on province-scale conclusions.</w:t>
      </w:r>
    </w:p>
    <w:p w14:paraId="623B71DA" w14:textId="77777777" w:rsidR="00C94FE6" w:rsidRDefault="00000000">
      <w:pPr>
        <w:jc w:val="both"/>
      </w:pPr>
      <w:r>
        <w:rPr>
          <w:color w:val="000000"/>
        </w:rPr>
        <w:t>This study had three objectives. First, it independently checked the supplied code, daily data, and archived outputs, including historical skill at daily and monthly scales. Second, it quantified how projection direction and robustness changed when future bias-corrected simulations were compared directly with observations versus with the corresponding bias-corrected historical model. Third, it reported only those future changes that remained supported by at least six of seven models under a single baseline and non-overlapping projection periods. The study thus treats the projections as climate-hazard information, not as direct estimates of flood damage, crop loss, or hydrological impact.</w:t>
      </w:r>
    </w:p>
    <w:p w14:paraId="1D8B91E3" w14:textId="77777777" w:rsidR="00C94FE6" w:rsidRDefault="00000000">
      <w:pPr>
        <w:pStyle w:val="1"/>
        <w:keepLines/>
      </w:pPr>
      <w:r>
        <w:lastRenderedPageBreak/>
        <w:t>2. Materials and methods</w:t>
      </w:r>
    </w:p>
    <w:p w14:paraId="0E687534" w14:textId="77777777" w:rsidR="00C94FE6" w:rsidRDefault="00000000">
      <w:pPr>
        <w:pStyle w:val="2"/>
        <w:keepLines/>
      </w:pPr>
      <w:r>
        <w:t>2.1 Study area and data</w:t>
      </w:r>
    </w:p>
    <w:p w14:paraId="58650728" w14:textId="77777777" w:rsidR="00C94FE6" w:rsidRDefault="00000000">
      <w:pPr>
        <w:jc w:val="both"/>
      </w:pPr>
      <w:r>
        <w:rPr>
          <w:color w:val="000000"/>
        </w:rPr>
        <w:t>Uttaradit Province is located in northern Thailand. The analyzed network comprised 13 gauges between 17.23–18.02°N and 100.05–101.07°E, with station elevations from 54.57 to 427.85 m (Figure 1). Observed daily rainfall covered 1 January 1981 to 31 December 2014 without duplicate dates, missing numeric cells, or negative rainfall. The station identifiers were 351001–351012 and 351201.</w:t>
      </w:r>
    </w:p>
    <w:p w14:paraId="36D07D5F" w14:textId="77777777" w:rsidR="00C94FE6" w:rsidRDefault="00000000">
      <w:pPr>
        <w:jc w:val="both"/>
      </w:pPr>
      <w:r>
        <w:rPr>
          <w:color w:val="000000"/>
        </w:rPr>
        <w:t>The supplied model archive contained one realization from each of seven CMIP6 models: ACCESS-ESM1-5, CanESM5, CESM2, EC-Earth3, FGOALS-g3, MIROC6, and MRI-ESM2-0. For every model, raw and bias-corrected daily precipitation were available for the historical period (1981–2014) and for SSP2-4.5 and SSP5-8.5 (2015–2100). Scenario naming follows ScenarioMIP [3]. The archive labels the corrected series as QDM outputs, but did not include the calibration code, quantile settings, occurrence adjustment, or an independent calibration–validation split. We therefore use the term “supplied bias-corrected series” and treat QDM provenance as unverified.</w:t>
      </w:r>
    </w:p>
    <w:p w14:paraId="7766784E" w14:textId="77777777" w:rsidR="00C94FE6" w:rsidRDefault="00000000">
      <w:pPr>
        <w:jc w:val="both"/>
      </w:pPr>
      <w:r>
        <w:rPr>
          <w:color w:val="000000"/>
        </w:rPr>
        <w:t>Three models used a 365-day calendar represented without leap days; the other data used the Gregorian calendar. No dates or rainfall values were imputed. Indices were calculated within each model's available calendar year, and periods were compared by annual statistics. All regional summaries gave equal weight to the 13 gauges and equal weight to the seven models. These are station-network summaries rather than area-weighted provincial averages.</w:t>
      </w:r>
    </w:p>
    <w:p w14:paraId="31223D86" w14:textId="77777777" w:rsidR="00C94FE6" w:rsidRDefault="00000000">
      <w:pPr>
        <w:keepNext/>
        <w:keepLines/>
        <w:spacing w:line="240" w:lineRule="auto"/>
        <w:jc w:val="center"/>
      </w:pPr>
      <w:r>
        <w:rPr>
          <w:noProof/>
        </w:rPr>
        <w:drawing>
          <wp:inline distT="0" distB="0" distL="0" distR="0" wp14:anchorId="337BCCEB" wp14:editId="0443CA48">
            <wp:extent cx="3886200" cy="2736473"/>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86200" cy="2736473"/>
                    </a:xfrm>
                    <a:prstGeom prst="rect">
                      <a:avLst/>
                    </a:prstGeom>
                  </pic:spPr>
                </pic:pic>
              </a:graphicData>
            </a:graphic>
          </wp:inline>
        </w:drawing>
      </w:r>
    </w:p>
    <w:p w14:paraId="099F1AD2" w14:textId="77777777" w:rsidR="00C94FE6" w:rsidRDefault="00000000">
      <w:pPr>
        <w:keepLines/>
        <w:spacing w:line="240" w:lineRule="auto"/>
        <w:jc w:val="both"/>
      </w:pPr>
      <w:r>
        <w:rPr>
          <w:b/>
          <w:color w:val="000000"/>
        </w:rPr>
        <w:t xml:space="preserve">Figure 1. </w:t>
      </w:r>
      <w:r>
        <w:rPr>
          <w:color w:val="000000"/>
        </w:rPr>
        <w:t>Study area and 13-gauge network in Uttaradit Province. Gauge coordinates and elevations were supplied with the daily rainfall archive.</w:t>
      </w:r>
    </w:p>
    <w:p w14:paraId="37D4954C" w14:textId="77777777" w:rsidR="00C94FE6" w:rsidRDefault="00000000">
      <w:pPr>
        <w:pStyle w:val="2"/>
        <w:keepLines/>
      </w:pPr>
      <w:r>
        <w:lastRenderedPageBreak/>
        <w:t>2.2 Independent code and data audit</w:t>
      </w:r>
    </w:p>
    <w:p w14:paraId="7170687C" w14:textId="77777777" w:rsidR="00C94FE6" w:rsidRDefault="00000000">
      <w:pPr>
        <w:jc w:val="both"/>
      </w:pPr>
      <w:r>
        <w:rPr>
          <w:color w:val="000000"/>
        </w:rPr>
        <w:t>The source archives were hashed, and their internal input files and generated tables were inventoried. Index calculations were independently reimplemented from the daily CSV files rather than accepted from the archived spreadsheets. The independent implementation reproduced the archived legacy regional results when the same observed baseline (1981–2014), overlapping 30-year windows, station-percentage averaging, and ensemble mean were used. This established code-to-table traceability.</w:t>
      </w:r>
    </w:p>
    <w:p w14:paraId="00656220" w14:textId="77777777" w:rsidR="00C94FE6" w:rsidRDefault="00000000">
      <w:pPr>
        <w:jc w:val="both"/>
      </w:pPr>
      <w:r>
        <w:rPr>
          <w:color w:val="000000"/>
        </w:rPr>
        <w:t>The audit then identified three issues relevant to inference. First, the archived near (2021–2050) and mid (2041–2070) windows overlap during 2041–2050; they are usable as climatologies but not as independent period contrasts. Second, future corrected values were compared directly with observed index means despite non-negligible residual historical bias. Third, percentage changes in rare-count indices can be unstable. For example, an archived SSP5-8.5 late-century R50mm summary had a positive mean percentage change (+72.2%) even though the regional absolute change was negative (−0.83 days yr−1) and six of seven models agreed on a decrease. The primary analysis therefore used non-overlapping 20-year periods, model-consistent historical baselines, ensemble medians, and absolute units for R50mm.</w:t>
      </w:r>
    </w:p>
    <w:p w14:paraId="4C720984" w14:textId="77777777" w:rsidR="00C94FE6" w:rsidRDefault="00000000">
      <w:pPr>
        <w:jc w:val="both"/>
      </w:pPr>
      <w:r>
        <w:rPr>
          <w:color w:val="000000"/>
        </w:rPr>
        <w:t>The supplied trend module also contained a Monte Carlo self-test. Under an AR(1) process with lag-1 autocorrelation 0.6 and no trend, the reported false-positive rate of trend-free pre-whitened Mann–Kendall (TFPW-MK) was 0.383 at a nominal 0.05 level. An independent audit used 2,000 zero-initialized Gaussian AR(1) null series (length 20, lag-1 coefficient 0.6, unit-normal innovations, random seed 20260829) and returned false-positive rates of 0.225 for conventional Mann–Kendall, 0.227 for the supplied Hamed–Rao implementation, and 0.267 for TFPW-MK. Because these diagnostics did not support confirmatory type-I error control, archived trend p-values were excluded from the manuscript. Model sign agreement is reported as a descriptive robustness screen, not statistical significance. The original methods were consulted only to identify the intended tests [18,19].</w:t>
      </w:r>
    </w:p>
    <w:p w14:paraId="4DE3E705" w14:textId="77777777" w:rsidR="00C94FE6" w:rsidRDefault="00000000">
      <w:pPr>
        <w:pStyle w:val="2"/>
        <w:keepLines/>
      </w:pPr>
      <w:r>
        <w:t>2.3 Precipitation-extreme indices</w:t>
      </w:r>
    </w:p>
    <w:p w14:paraId="3B22796B" w14:textId="77777777" w:rsidR="00C94FE6" w:rsidRDefault="00000000">
      <w:pPr>
        <w:jc w:val="both"/>
      </w:pPr>
      <w:r>
        <w:rPr>
          <w:color w:val="000000"/>
        </w:rPr>
        <w:t>A wet day was defined as daily precipitation greater than or equal to 1 mm. Station-specific 95th and 99th percentile thresholds were calculated from all observed wet days during 1981–2014 and then held fixed for observed and model calculations. Spells and rolling 5-day totals were reset at each calendar-year boundary. The 11 indices are ETCCDI or ETCCDI-style measures [4,5] and are defined in Table 1. R50mm is a study-specific fixed-threshold count and is not part of the core ETCCDI set.</w:t>
      </w:r>
    </w:p>
    <w:p w14:paraId="3498C61A" w14:textId="77777777" w:rsidR="00C94FE6" w:rsidRDefault="00000000">
      <w:pPr>
        <w:keepNext/>
        <w:spacing w:line="240" w:lineRule="auto"/>
      </w:pPr>
      <w:r>
        <w:rPr>
          <w:b/>
          <w:color w:val="000000"/>
        </w:rPr>
        <w:t xml:space="preserve">Table 1. </w:t>
      </w:r>
      <w:r>
        <w:rPr>
          <w:color w:val="000000"/>
        </w:rPr>
        <w:t>Definitions of the 11 annual precipitation-extreme indices.</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080"/>
        <w:gridCol w:w="1656"/>
        <w:gridCol w:w="6264"/>
      </w:tblGrid>
      <w:tr w:rsidR="00C94FE6" w14:paraId="5C00F092" w14:textId="77777777">
        <w:trPr>
          <w:tblHeader/>
          <w:jc w:val="center"/>
        </w:trPr>
        <w:tc>
          <w:tcPr>
            <w:tcW w:w="1080" w:type="dxa"/>
            <w:tcBorders>
              <w:bottom w:val="single" w:sz="6" w:space="0" w:color="000000"/>
            </w:tcBorders>
            <w:tcMar>
              <w:top w:w="35" w:type="dxa"/>
              <w:left w:w="55" w:type="dxa"/>
              <w:bottom w:w="35" w:type="dxa"/>
              <w:right w:w="55" w:type="dxa"/>
            </w:tcMar>
            <w:vAlign w:val="center"/>
          </w:tcPr>
          <w:p w14:paraId="63F4B12E" w14:textId="77777777" w:rsidR="00C94FE6" w:rsidRDefault="00000000">
            <w:pPr>
              <w:keepLines/>
              <w:spacing w:line="240" w:lineRule="auto"/>
              <w:jc w:val="center"/>
            </w:pPr>
            <w:r>
              <w:rPr>
                <w:b/>
                <w:color w:val="000000"/>
              </w:rPr>
              <w:t>Index</w:t>
            </w:r>
          </w:p>
        </w:tc>
        <w:tc>
          <w:tcPr>
            <w:tcW w:w="1656" w:type="dxa"/>
            <w:tcBorders>
              <w:bottom w:val="single" w:sz="6" w:space="0" w:color="000000"/>
            </w:tcBorders>
            <w:tcMar>
              <w:top w:w="35" w:type="dxa"/>
              <w:left w:w="55" w:type="dxa"/>
              <w:bottom w:w="35" w:type="dxa"/>
              <w:right w:w="55" w:type="dxa"/>
            </w:tcMar>
            <w:vAlign w:val="center"/>
          </w:tcPr>
          <w:p w14:paraId="3D3E1478" w14:textId="77777777" w:rsidR="00C94FE6" w:rsidRDefault="00000000">
            <w:pPr>
              <w:keepLines/>
              <w:spacing w:line="240" w:lineRule="auto"/>
              <w:jc w:val="center"/>
            </w:pPr>
            <w:r>
              <w:rPr>
                <w:b/>
                <w:color w:val="000000"/>
              </w:rPr>
              <w:t>Unit</w:t>
            </w:r>
          </w:p>
        </w:tc>
        <w:tc>
          <w:tcPr>
            <w:tcW w:w="6264" w:type="dxa"/>
            <w:tcBorders>
              <w:bottom w:val="single" w:sz="6" w:space="0" w:color="000000"/>
            </w:tcBorders>
            <w:tcMar>
              <w:top w:w="35" w:type="dxa"/>
              <w:left w:w="55" w:type="dxa"/>
              <w:bottom w:w="35" w:type="dxa"/>
              <w:right w:w="55" w:type="dxa"/>
            </w:tcMar>
            <w:vAlign w:val="center"/>
          </w:tcPr>
          <w:p w14:paraId="11A40282" w14:textId="77777777" w:rsidR="00C94FE6" w:rsidRDefault="00000000">
            <w:pPr>
              <w:keepLines/>
              <w:spacing w:line="240" w:lineRule="auto"/>
              <w:jc w:val="center"/>
            </w:pPr>
            <w:r>
              <w:rPr>
                <w:b/>
                <w:color w:val="000000"/>
              </w:rPr>
              <w:t>Definition</w:t>
            </w:r>
          </w:p>
        </w:tc>
      </w:tr>
      <w:tr w:rsidR="00C94FE6" w14:paraId="232B0B66" w14:textId="77777777">
        <w:trPr>
          <w:jc w:val="center"/>
        </w:trPr>
        <w:tc>
          <w:tcPr>
            <w:tcW w:w="1080" w:type="dxa"/>
            <w:tcMar>
              <w:top w:w="35" w:type="dxa"/>
              <w:left w:w="55" w:type="dxa"/>
              <w:bottom w:w="35" w:type="dxa"/>
              <w:right w:w="55" w:type="dxa"/>
            </w:tcMar>
            <w:vAlign w:val="center"/>
          </w:tcPr>
          <w:p w14:paraId="2B19E57C" w14:textId="77777777" w:rsidR="00C94FE6" w:rsidRDefault="00000000">
            <w:pPr>
              <w:keepLines/>
              <w:spacing w:line="240" w:lineRule="auto"/>
            </w:pPr>
            <w:r>
              <w:rPr>
                <w:color w:val="000000"/>
              </w:rPr>
              <w:t>PRCPTOT</w:t>
            </w:r>
          </w:p>
        </w:tc>
        <w:tc>
          <w:tcPr>
            <w:tcW w:w="1656" w:type="dxa"/>
            <w:tcMar>
              <w:top w:w="35" w:type="dxa"/>
              <w:left w:w="55" w:type="dxa"/>
              <w:bottom w:w="35" w:type="dxa"/>
              <w:right w:w="55" w:type="dxa"/>
            </w:tcMar>
            <w:vAlign w:val="center"/>
          </w:tcPr>
          <w:p w14:paraId="1B8594B9" w14:textId="77777777" w:rsidR="00C94FE6" w:rsidRDefault="00000000">
            <w:pPr>
              <w:keepLines/>
              <w:spacing w:line="240" w:lineRule="auto"/>
            </w:pPr>
            <w:r>
              <w:rPr>
                <w:color w:val="000000"/>
              </w:rPr>
              <w:t>mm yr⁻¹</w:t>
            </w:r>
          </w:p>
        </w:tc>
        <w:tc>
          <w:tcPr>
            <w:tcW w:w="6264" w:type="dxa"/>
            <w:tcMar>
              <w:top w:w="35" w:type="dxa"/>
              <w:left w:w="55" w:type="dxa"/>
              <w:bottom w:w="35" w:type="dxa"/>
              <w:right w:w="55" w:type="dxa"/>
            </w:tcMar>
            <w:vAlign w:val="center"/>
          </w:tcPr>
          <w:p w14:paraId="6EA74C67" w14:textId="77777777" w:rsidR="00C94FE6" w:rsidRDefault="00000000">
            <w:pPr>
              <w:keepLines/>
              <w:spacing w:line="240" w:lineRule="auto"/>
              <w:jc w:val="center"/>
            </w:pPr>
            <w:r>
              <w:rPr>
                <w:color w:val="000000"/>
              </w:rPr>
              <w:t>Annual wet-day precipitation total (daily precipitation &gt;= 1 mm)</w:t>
            </w:r>
          </w:p>
        </w:tc>
      </w:tr>
      <w:tr w:rsidR="00C94FE6" w14:paraId="3FA33E66" w14:textId="77777777">
        <w:trPr>
          <w:jc w:val="center"/>
        </w:trPr>
        <w:tc>
          <w:tcPr>
            <w:tcW w:w="1080" w:type="dxa"/>
            <w:tcMar>
              <w:top w:w="35" w:type="dxa"/>
              <w:left w:w="55" w:type="dxa"/>
              <w:bottom w:w="35" w:type="dxa"/>
              <w:right w:w="55" w:type="dxa"/>
            </w:tcMar>
            <w:vAlign w:val="center"/>
          </w:tcPr>
          <w:p w14:paraId="456104D2" w14:textId="77777777" w:rsidR="00C94FE6" w:rsidRDefault="00000000">
            <w:pPr>
              <w:keepLines/>
              <w:spacing w:line="240" w:lineRule="auto"/>
            </w:pPr>
            <w:r>
              <w:rPr>
                <w:color w:val="000000"/>
              </w:rPr>
              <w:lastRenderedPageBreak/>
              <w:t>SDII</w:t>
            </w:r>
          </w:p>
        </w:tc>
        <w:tc>
          <w:tcPr>
            <w:tcW w:w="1656" w:type="dxa"/>
            <w:tcMar>
              <w:top w:w="35" w:type="dxa"/>
              <w:left w:w="55" w:type="dxa"/>
              <w:bottom w:w="35" w:type="dxa"/>
              <w:right w:w="55" w:type="dxa"/>
            </w:tcMar>
            <w:vAlign w:val="center"/>
          </w:tcPr>
          <w:p w14:paraId="3602D20B" w14:textId="77777777" w:rsidR="00C94FE6" w:rsidRDefault="00000000">
            <w:pPr>
              <w:keepLines/>
              <w:spacing w:line="240" w:lineRule="auto"/>
            </w:pPr>
            <w:r>
              <w:rPr>
                <w:color w:val="000000"/>
              </w:rPr>
              <w:t>mm wet-day⁻¹</w:t>
            </w:r>
          </w:p>
        </w:tc>
        <w:tc>
          <w:tcPr>
            <w:tcW w:w="6264" w:type="dxa"/>
            <w:tcMar>
              <w:top w:w="35" w:type="dxa"/>
              <w:left w:w="55" w:type="dxa"/>
              <w:bottom w:w="35" w:type="dxa"/>
              <w:right w:w="55" w:type="dxa"/>
            </w:tcMar>
            <w:vAlign w:val="center"/>
          </w:tcPr>
          <w:p w14:paraId="2540BD19" w14:textId="77777777" w:rsidR="00C94FE6" w:rsidRDefault="00000000">
            <w:pPr>
              <w:keepLines/>
              <w:spacing w:line="240" w:lineRule="auto"/>
              <w:jc w:val="center"/>
            </w:pPr>
            <w:r>
              <w:rPr>
                <w:color w:val="000000"/>
              </w:rPr>
              <w:t>Mean precipitation on wet days</w:t>
            </w:r>
          </w:p>
        </w:tc>
      </w:tr>
      <w:tr w:rsidR="00C94FE6" w14:paraId="602149C4" w14:textId="77777777">
        <w:trPr>
          <w:jc w:val="center"/>
        </w:trPr>
        <w:tc>
          <w:tcPr>
            <w:tcW w:w="1080" w:type="dxa"/>
            <w:tcMar>
              <w:top w:w="35" w:type="dxa"/>
              <w:left w:w="55" w:type="dxa"/>
              <w:bottom w:w="35" w:type="dxa"/>
              <w:right w:w="55" w:type="dxa"/>
            </w:tcMar>
            <w:vAlign w:val="center"/>
          </w:tcPr>
          <w:p w14:paraId="749DB27B" w14:textId="77777777" w:rsidR="00C94FE6" w:rsidRDefault="00000000">
            <w:pPr>
              <w:keepLines/>
              <w:spacing w:line="240" w:lineRule="auto"/>
            </w:pPr>
            <w:r>
              <w:rPr>
                <w:color w:val="000000"/>
              </w:rPr>
              <w:t>Rx1day</w:t>
            </w:r>
          </w:p>
        </w:tc>
        <w:tc>
          <w:tcPr>
            <w:tcW w:w="1656" w:type="dxa"/>
            <w:tcMar>
              <w:top w:w="35" w:type="dxa"/>
              <w:left w:w="55" w:type="dxa"/>
              <w:bottom w:w="35" w:type="dxa"/>
              <w:right w:w="55" w:type="dxa"/>
            </w:tcMar>
            <w:vAlign w:val="center"/>
          </w:tcPr>
          <w:p w14:paraId="60D51A4F" w14:textId="77777777" w:rsidR="00C94FE6" w:rsidRDefault="00000000">
            <w:pPr>
              <w:keepLines/>
              <w:spacing w:line="240" w:lineRule="auto"/>
            </w:pPr>
            <w:r>
              <w:rPr>
                <w:color w:val="000000"/>
              </w:rPr>
              <w:t>mm</w:t>
            </w:r>
          </w:p>
        </w:tc>
        <w:tc>
          <w:tcPr>
            <w:tcW w:w="6264" w:type="dxa"/>
            <w:tcMar>
              <w:top w:w="35" w:type="dxa"/>
              <w:left w:w="55" w:type="dxa"/>
              <w:bottom w:w="35" w:type="dxa"/>
              <w:right w:w="55" w:type="dxa"/>
            </w:tcMar>
            <w:vAlign w:val="center"/>
          </w:tcPr>
          <w:p w14:paraId="6A5F2BD4" w14:textId="77777777" w:rsidR="00C94FE6" w:rsidRDefault="00000000">
            <w:pPr>
              <w:keepLines/>
              <w:spacing w:line="240" w:lineRule="auto"/>
              <w:jc w:val="center"/>
            </w:pPr>
            <w:r>
              <w:rPr>
                <w:color w:val="000000"/>
              </w:rPr>
              <w:t>Annual maximum 1-day precipitation</w:t>
            </w:r>
          </w:p>
        </w:tc>
      </w:tr>
      <w:tr w:rsidR="00C94FE6" w14:paraId="4A20AF29" w14:textId="77777777">
        <w:trPr>
          <w:jc w:val="center"/>
        </w:trPr>
        <w:tc>
          <w:tcPr>
            <w:tcW w:w="1080" w:type="dxa"/>
            <w:tcMar>
              <w:top w:w="35" w:type="dxa"/>
              <w:left w:w="55" w:type="dxa"/>
              <w:bottom w:w="35" w:type="dxa"/>
              <w:right w:w="55" w:type="dxa"/>
            </w:tcMar>
            <w:vAlign w:val="center"/>
          </w:tcPr>
          <w:p w14:paraId="7817D7AA" w14:textId="77777777" w:rsidR="00C94FE6" w:rsidRDefault="00000000">
            <w:pPr>
              <w:keepLines/>
              <w:spacing w:line="240" w:lineRule="auto"/>
            </w:pPr>
            <w:r>
              <w:rPr>
                <w:color w:val="000000"/>
              </w:rPr>
              <w:t>Rx5day</w:t>
            </w:r>
          </w:p>
        </w:tc>
        <w:tc>
          <w:tcPr>
            <w:tcW w:w="1656" w:type="dxa"/>
            <w:tcMar>
              <w:top w:w="35" w:type="dxa"/>
              <w:left w:w="55" w:type="dxa"/>
              <w:bottom w:w="35" w:type="dxa"/>
              <w:right w:w="55" w:type="dxa"/>
            </w:tcMar>
            <w:vAlign w:val="center"/>
          </w:tcPr>
          <w:p w14:paraId="45B99170" w14:textId="77777777" w:rsidR="00C94FE6" w:rsidRDefault="00000000">
            <w:pPr>
              <w:keepLines/>
              <w:spacing w:line="240" w:lineRule="auto"/>
            </w:pPr>
            <w:r>
              <w:rPr>
                <w:color w:val="000000"/>
              </w:rPr>
              <w:t>mm</w:t>
            </w:r>
          </w:p>
        </w:tc>
        <w:tc>
          <w:tcPr>
            <w:tcW w:w="6264" w:type="dxa"/>
            <w:tcMar>
              <w:top w:w="35" w:type="dxa"/>
              <w:left w:w="55" w:type="dxa"/>
              <w:bottom w:w="35" w:type="dxa"/>
              <w:right w:w="55" w:type="dxa"/>
            </w:tcMar>
            <w:vAlign w:val="center"/>
          </w:tcPr>
          <w:p w14:paraId="7B0D591D" w14:textId="77777777" w:rsidR="00C94FE6" w:rsidRDefault="00000000">
            <w:pPr>
              <w:keepLines/>
              <w:spacing w:line="240" w:lineRule="auto"/>
              <w:jc w:val="center"/>
            </w:pPr>
            <w:r>
              <w:rPr>
                <w:color w:val="000000"/>
              </w:rPr>
              <w:t>Annual maximum consecutive 5-day precipitation</w:t>
            </w:r>
          </w:p>
        </w:tc>
      </w:tr>
      <w:tr w:rsidR="00C94FE6" w14:paraId="1D91CD6B" w14:textId="77777777">
        <w:trPr>
          <w:jc w:val="center"/>
        </w:trPr>
        <w:tc>
          <w:tcPr>
            <w:tcW w:w="1080" w:type="dxa"/>
            <w:tcMar>
              <w:top w:w="35" w:type="dxa"/>
              <w:left w:w="55" w:type="dxa"/>
              <w:bottom w:w="35" w:type="dxa"/>
              <w:right w:w="55" w:type="dxa"/>
            </w:tcMar>
            <w:vAlign w:val="center"/>
          </w:tcPr>
          <w:p w14:paraId="62EC9B06" w14:textId="77777777" w:rsidR="00C94FE6" w:rsidRDefault="00000000">
            <w:pPr>
              <w:keepLines/>
              <w:spacing w:line="240" w:lineRule="auto"/>
            </w:pPr>
            <w:r>
              <w:rPr>
                <w:color w:val="000000"/>
              </w:rPr>
              <w:t>CDD</w:t>
            </w:r>
          </w:p>
        </w:tc>
        <w:tc>
          <w:tcPr>
            <w:tcW w:w="1656" w:type="dxa"/>
            <w:tcMar>
              <w:top w:w="35" w:type="dxa"/>
              <w:left w:w="55" w:type="dxa"/>
              <w:bottom w:w="35" w:type="dxa"/>
              <w:right w:w="55" w:type="dxa"/>
            </w:tcMar>
            <w:vAlign w:val="center"/>
          </w:tcPr>
          <w:p w14:paraId="2A041AEF" w14:textId="77777777" w:rsidR="00C94FE6" w:rsidRDefault="00000000">
            <w:pPr>
              <w:keepLines/>
              <w:spacing w:line="240" w:lineRule="auto"/>
            </w:pPr>
            <w:r>
              <w:rPr>
                <w:color w:val="000000"/>
              </w:rPr>
              <w:t>days</w:t>
            </w:r>
          </w:p>
        </w:tc>
        <w:tc>
          <w:tcPr>
            <w:tcW w:w="6264" w:type="dxa"/>
            <w:tcMar>
              <w:top w:w="35" w:type="dxa"/>
              <w:left w:w="55" w:type="dxa"/>
              <w:bottom w:w="35" w:type="dxa"/>
              <w:right w:w="55" w:type="dxa"/>
            </w:tcMar>
            <w:vAlign w:val="center"/>
          </w:tcPr>
          <w:p w14:paraId="7A8A0FEC" w14:textId="77777777" w:rsidR="00C94FE6" w:rsidRDefault="00000000">
            <w:pPr>
              <w:keepLines/>
              <w:spacing w:line="240" w:lineRule="auto"/>
              <w:jc w:val="center"/>
            </w:pPr>
            <w:r>
              <w:rPr>
                <w:color w:val="000000"/>
              </w:rPr>
              <w:t>Annual maximum consecutive days with precipitation &lt; 1 mm</w:t>
            </w:r>
          </w:p>
        </w:tc>
      </w:tr>
      <w:tr w:rsidR="00C94FE6" w14:paraId="4DEEA809" w14:textId="77777777">
        <w:trPr>
          <w:jc w:val="center"/>
        </w:trPr>
        <w:tc>
          <w:tcPr>
            <w:tcW w:w="1080" w:type="dxa"/>
            <w:tcMar>
              <w:top w:w="35" w:type="dxa"/>
              <w:left w:w="55" w:type="dxa"/>
              <w:bottom w:w="35" w:type="dxa"/>
              <w:right w:w="55" w:type="dxa"/>
            </w:tcMar>
            <w:vAlign w:val="center"/>
          </w:tcPr>
          <w:p w14:paraId="7D823EEF" w14:textId="77777777" w:rsidR="00C94FE6" w:rsidRDefault="00000000">
            <w:pPr>
              <w:keepLines/>
              <w:spacing w:line="240" w:lineRule="auto"/>
            </w:pPr>
            <w:r>
              <w:rPr>
                <w:color w:val="000000"/>
              </w:rPr>
              <w:t>CWD</w:t>
            </w:r>
          </w:p>
        </w:tc>
        <w:tc>
          <w:tcPr>
            <w:tcW w:w="1656" w:type="dxa"/>
            <w:tcMar>
              <w:top w:w="35" w:type="dxa"/>
              <w:left w:w="55" w:type="dxa"/>
              <w:bottom w:w="35" w:type="dxa"/>
              <w:right w:w="55" w:type="dxa"/>
            </w:tcMar>
            <w:vAlign w:val="center"/>
          </w:tcPr>
          <w:p w14:paraId="08B55874" w14:textId="77777777" w:rsidR="00C94FE6" w:rsidRDefault="00000000">
            <w:pPr>
              <w:keepLines/>
              <w:spacing w:line="240" w:lineRule="auto"/>
            </w:pPr>
            <w:r>
              <w:rPr>
                <w:color w:val="000000"/>
              </w:rPr>
              <w:t>days</w:t>
            </w:r>
          </w:p>
        </w:tc>
        <w:tc>
          <w:tcPr>
            <w:tcW w:w="6264" w:type="dxa"/>
            <w:tcMar>
              <w:top w:w="35" w:type="dxa"/>
              <w:left w:w="55" w:type="dxa"/>
              <w:bottom w:w="35" w:type="dxa"/>
              <w:right w:w="55" w:type="dxa"/>
            </w:tcMar>
            <w:vAlign w:val="center"/>
          </w:tcPr>
          <w:p w14:paraId="300F16E9" w14:textId="77777777" w:rsidR="00C94FE6" w:rsidRDefault="00000000">
            <w:pPr>
              <w:keepLines/>
              <w:spacing w:line="240" w:lineRule="auto"/>
              <w:jc w:val="center"/>
            </w:pPr>
            <w:r>
              <w:rPr>
                <w:color w:val="000000"/>
              </w:rPr>
              <w:t>Annual maximum consecutive days with precipitation &gt;= 1 mm</w:t>
            </w:r>
          </w:p>
        </w:tc>
      </w:tr>
      <w:tr w:rsidR="00C94FE6" w14:paraId="5A3800AD" w14:textId="77777777">
        <w:trPr>
          <w:jc w:val="center"/>
        </w:trPr>
        <w:tc>
          <w:tcPr>
            <w:tcW w:w="1080" w:type="dxa"/>
            <w:tcMar>
              <w:top w:w="35" w:type="dxa"/>
              <w:left w:w="55" w:type="dxa"/>
              <w:bottom w:w="35" w:type="dxa"/>
              <w:right w:w="55" w:type="dxa"/>
            </w:tcMar>
            <w:vAlign w:val="center"/>
          </w:tcPr>
          <w:p w14:paraId="57B12E5F" w14:textId="77777777" w:rsidR="00C94FE6" w:rsidRDefault="00000000">
            <w:pPr>
              <w:keepLines/>
              <w:spacing w:line="240" w:lineRule="auto"/>
            </w:pPr>
            <w:r>
              <w:rPr>
                <w:color w:val="000000"/>
              </w:rPr>
              <w:t>R10mm</w:t>
            </w:r>
          </w:p>
        </w:tc>
        <w:tc>
          <w:tcPr>
            <w:tcW w:w="1656" w:type="dxa"/>
            <w:tcMar>
              <w:top w:w="35" w:type="dxa"/>
              <w:left w:w="55" w:type="dxa"/>
              <w:bottom w:w="35" w:type="dxa"/>
              <w:right w:w="55" w:type="dxa"/>
            </w:tcMar>
            <w:vAlign w:val="center"/>
          </w:tcPr>
          <w:p w14:paraId="434CC8D4" w14:textId="77777777" w:rsidR="00C94FE6" w:rsidRDefault="00000000">
            <w:pPr>
              <w:keepLines/>
              <w:spacing w:line="240" w:lineRule="auto"/>
            </w:pPr>
            <w:r>
              <w:rPr>
                <w:color w:val="000000"/>
              </w:rPr>
              <w:t>days yr⁻¹</w:t>
            </w:r>
          </w:p>
        </w:tc>
        <w:tc>
          <w:tcPr>
            <w:tcW w:w="6264" w:type="dxa"/>
            <w:tcMar>
              <w:top w:w="35" w:type="dxa"/>
              <w:left w:w="55" w:type="dxa"/>
              <w:bottom w:w="35" w:type="dxa"/>
              <w:right w:w="55" w:type="dxa"/>
            </w:tcMar>
            <w:vAlign w:val="center"/>
          </w:tcPr>
          <w:p w14:paraId="73C15071" w14:textId="77777777" w:rsidR="00C94FE6" w:rsidRDefault="00000000">
            <w:pPr>
              <w:keepLines/>
              <w:spacing w:line="240" w:lineRule="auto"/>
              <w:jc w:val="center"/>
            </w:pPr>
            <w:r>
              <w:rPr>
                <w:color w:val="000000"/>
              </w:rPr>
              <w:t>Annual count of days with precipitation &gt;= 10 mm</w:t>
            </w:r>
          </w:p>
        </w:tc>
      </w:tr>
      <w:tr w:rsidR="00C94FE6" w14:paraId="74E7762E" w14:textId="77777777">
        <w:trPr>
          <w:jc w:val="center"/>
        </w:trPr>
        <w:tc>
          <w:tcPr>
            <w:tcW w:w="1080" w:type="dxa"/>
            <w:tcMar>
              <w:top w:w="35" w:type="dxa"/>
              <w:left w:w="55" w:type="dxa"/>
              <w:bottom w:w="35" w:type="dxa"/>
              <w:right w:w="55" w:type="dxa"/>
            </w:tcMar>
            <w:vAlign w:val="center"/>
          </w:tcPr>
          <w:p w14:paraId="317ECFFB" w14:textId="77777777" w:rsidR="00C94FE6" w:rsidRDefault="00000000">
            <w:pPr>
              <w:keepLines/>
              <w:spacing w:line="240" w:lineRule="auto"/>
            </w:pPr>
            <w:r>
              <w:rPr>
                <w:color w:val="000000"/>
              </w:rPr>
              <w:t>R20mm</w:t>
            </w:r>
          </w:p>
        </w:tc>
        <w:tc>
          <w:tcPr>
            <w:tcW w:w="1656" w:type="dxa"/>
            <w:tcMar>
              <w:top w:w="35" w:type="dxa"/>
              <w:left w:w="55" w:type="dxa"/>
              <w:bottom w:w="35" w:type="dxa"/>
              <w:right w:w="55" w:type="dxa"/>
            </w:tcMar>
            <w:vAlign w:val="center"/>
          </w:tcPr>
          <w:p w14:paraId="68FD8F92" w14:textId="77777777" w:rsidR="00C94FE6" w:rsidRDefault="00000000">
            <w:pPr>
              <w:keepLines/>
              <w:spacing w:line="240" w:lineRule="auto"/>
            </w:pPr>
            <w:r>
              <w:rPr>
                <w:color w:val="000000"/>
              </w:rPr>
              <w:t>days yr⁻¹</w:t>
            </w:r>
          </w:p>
        </w:tc>
        <w:tc>
          <w:tcPr>
            <w:tcW w:w="6264" w:type="dxa"/>
            <w:tcMar>
              <w:top w:w="35" w:type="dxa"/>
              <w:left w:w="55" w:type="dxa"/>
              <w:bottom w:w="35" w:type="dxa"/>
              <w:right w:w="55" w:type="dxa"/>
            </w:tcMar>
            <w:vAlign w:val="center"/>
          </w:tcPr>
          <w:p w14:paraId="6279C780" w14:textId="77777777" w:rsidR="00C94FE6" w:rsidRDefault="00000000">
            <w:pPr>
              <w:keepLines/>
              <w:spacing w:line="240" w:lineRule="auto"/>
              <w:jc w:val="center"/>
            </w:pPr>
            <w:r>
              <w:rPr>
                <w:color w:val="000000"/>
              </w:rPr>
              <w:t>Annual count of days with precipitation &gt;= 20 mm</w:t>
            </w:r>
          </w:p>
        </w:tc>
      </w:tr>
      <w:tr w:rsidR="00C94FE6" w14:paraId="5A87D611" w14:textId="77777777">
        <w:trPr>
          <w:jc w:val="center"/>
        </w:trPr>
        <w:tc>
          <w:tcPr>
            <w:tcW w:w="1080" w:type="dxa"/>
            <w:tcMar>
              <w:top w:w="35" w:type="dxa"/>
              <w:left w:w="55" w:type="dxa"/>
              <w:bottom w:w="35" w:type="dxa"/>
              <w:right w:w="55" w:type="dxa"/>
            </w:tcMar>
            <w:vAlign w:val="center"/>
          </w:tcPr>
          <w:p w14:paraId="6EADA623" w14:textId="77777777" w:rsidR="00C94FE6" w:rsidRDefault="00000000">
            <w:pPr>
              <w:keepLines/>
              <w:spacing w:line="240" w:lineRule="auto"/>
            </w:pPr>
            <w:r>
              <w:rPr>
                <w:color w:val="000000"/>
              </w:rPr>
              <w:t>R50mm</w:t>
            </w:r>
          </w:p>
        </w:tc>
        <w:tc>
          <w:tcPr>
            <w:tcW w:w="1656" w:type="dxa"/>
            <w:tcMar>
              <w:top w:w="35" w:type="dxa"/>
              <w:left w:w="55" w:type="dxa"/>
              <w:bottom w:w="35" w:type="dxa"/>
              <w:right w:w="55" w:type="dxa"/>
            </w:tcMar>
            <w:vAlign w:val="center"/>
          </w:tcPr>
          <w:p w14:paraId="16CB8E6B" w14:textId="77777777" w:rsidR="00C94FE6" w:rsidRDefault="00000000">
            <w:pPr>
              <w:keepLines/>
              <w:spacing w:line="240" w:lineRule="auto"/>
            </w:pPr>
            <w:r>
              <w:rPr>
                <w:color w:val="000000"/>
              </w:rPr>
              <w:t>days yr⁻¹</w:t>
            </w:r>
          </w:p>
        </w:tc>
        <w:tc>
          <w:tcPr>
            <w:tcW w:w="6264" w:type="dxa"/>
            <w:tcMar>
              <w:top w:w="35" w:type="dxa"/>
              <w:left w:w="55" w:type="dxa"/>
              <w:bottom w:w="35" w:type="dxa"/>
              <w:right w:w="55" w:type="dxa"/>
            </w:tcMar>
            <w:vAlign w:val="center"/>
          </w:tcPr>
          <w:p w14:paraId="1A236289" w14:textId="77777777" w:rsidR="00C94FE6" w:rsidRDefault="00000000">
            <w:pPr>
              <w:keepLines/>
              <w:spacing w:line="240" w:lineRule="auto"/>
              <w:jc w:val="center"/>
            </w:pPr>
            <w:r>
              <w:rPr>
                <w:color w:val="000000"/>
              </w:rPr>
              <w:t>Annual count of days with precipitation &gt;= 50 mm</w:t>
            </w:r>
          </w:p>
        </w:tc>
      </w:tr>
      <w:tr w:rsidR="00C94FE6" w14:paraId="284F0131" w14:textId="77777777">
        <w:trPr>
          <w:jc w:val="center"/>
        </w:trPr>
        <w:tc>
          <w:tcPr>
            <w:tcW w:w="1080" w:type="dxa"/>
            <w:tcMar>
              <w:top w:w="35" w:type="dxa"/>
              <w:left w:w="55" w:type="dxa"/>
              <w:bottom w:w="35" w:type="dxa"/>
              <w:right w:w="55" w:type="dxa"/>
            </w:tcMar>
            <w:vAlign w:val="center"/>
          </w:tcPr>
          <w:p w14:paraId="282C4223" w14:textId="77777777" w:rsidR="00C94FE6" w:rsidRDefault="00000000">
            <w:pPr>
              <w:keepLines/>
              <w:spacing w:line="240" w:lineRule="auto"/>
            </w:pPr>
            <w:r>
              <w:rPr>
                <w:color w:val="000000"/>
              </w:rPr>
              <w:t>R95p</w:t>
            </w:r>
          </w:p>
        </w:tc>
        <w:tc>
          <w:tcPr>
            <w:tcW w:w="1656" w:type="dxa"/>
            <w:tcMar>
              <w:top w:w="35" w:type="dxa"/>
              <w:left w:w="55" w:type="dxa"/>
              <w:bottom w:w="35" w:type="dxa"/>
              <w:right w:w="55" w:type="dxa"/>
            </w:tcMar>
            <w:vAlign w:val="center"/>
          </w:tcPr>
          <w:p w14:paraId="44F20B23" w14:textId="77777777" w:rsidR="00C94FE6" w:rsidRDefault="00000000">
            <w:pPr>
              <w:keepLines/>
              <w:spacing w:line="240" w:lineRule="auto"/>
            </w:pPr>
            <w:r>
              <w:rPr>
                <w:color w:val="000000"/>
              </w:rPr>
              <w:t>mm yr⁻¹</w:t>
            </w:r>
          </w:p>
        </w:tc>
        <w:tc>
          <w:tcPr>
            <w:tcW w:w="6264" w:type="dxa"/>
            <w:tcMar>
              <w:top w:w="35" w:type="dxa"/>
              <w:left w:w="55" w:type="dxa"/>
              <w:bottom w:w="35" w:type="dxa"/>
              <w:right w:w="55" w:type="dxa"/>
            </w:tcMar>
            <w:vAlign w:val="center"/>
          </w:tcPr>
          <w:p w14:paraId="14A21010" w14:textId="77777777" w:rsidR="00C94FE6" w:rsidRDefault="00000000">
            <w:pPr>
              <w:keepLines/>
              <w:spacing w:line="240" w:lineRule="auto"/>
              <w:jc w:val="center"/>
            </w:pPr>
            <w:r>
              <w:rPr>
                <w:color w:val="000000"/>
              </w:rPr>
              <w:t>Annual precipitation above the observed wet-day 95th percentile</w:t>
            </w:r>
          </w:p>
        </w:tc>
      </w:tr>
      <w:tr w:rsidR="00C94FE6" w14:paraId="4949E8D2" w14:textId="77777777">
        <w:trPr>
          <w:jc w:val="center"/>
        </w:trPr>
        <w:tc>
          <w:tcPr>
            <w:tcW w:w="1080" w:type="dxa"/>
            <w:tcMar>
              <w:top w:w="35" w:type="dxa"/>
              <w:left w:w="55" w:type="dxa"/>
              <w:bottom w:w="35" w:type="dxa"/>
              <w:right w:w="55" w:type="dxa"/>
            </w:tcMar>
            <w:vAlign w:val="center"/>
          </w:tcPr>
          <w:p w14:paraId="79ED844C" w14:textId="77777777" w:rsidR="00C94FE6" w:rsidRDefault="00000000">
            <w:pPr>
              <w:keepLines/>
              <w:spacing w:line="240" w:lineRule="auto"/>
            </w:pPr>
            <w:r>
              <w:rPr>
                <w:color w:val="000000"/>
              </w:rPr>
              <w:t>R99p</w:t>
            </w:r>
          </w:p>
        </w:tc>
        <w:tc>
          <w:tcPr>
            <w:tcW w:w="1656" w:type="dxa"/>
            <w:tcMar>
              <w:top w:w="35" w:type="dxa"/>
              <w:left w:w="55" w:type="dxa"/>
              <w:bottom w:w="35" w:type="dxa"/>
              <w:right w:w="55" w:type="dxa"/>
            </w:tcMar>
            <w:vAlign w:val="center"/>
          </w:tcPr>
          <w:p w14:paraId="27F94D19" w14:textId="77777777" w:rsidR="00C94FE6" w:rsidRDefault="00000000">
            <w:pPr>
              <w:keepLines/>
              <w:spacing w:line="240" w:lineRule="auto"/>
            </w:pPr>
            <w:r>
              <w:rPr>
                <w:color w:val="000000"/>
              </w:rPr>
              <w:t>mm yr⁻¹</w:t>
            </w:r>
          </w:p>
        </w:tc>
        <w:tc>
          <w:tcPr>
            <w:tcW w:w="6264" w:type="dxa"/>
            <w:tcMar>
              <w:top w:w="35" w:type="dxa"/>
              <w:left w:w="55" w:type="dxa"/>
              <w:bottom w:w="35" w:type="dxa"/>
              <w:right w:w="55" w:type="dxa"/>
            </w:tcMar>
            <w:vAlign w:val="center"/>
          </w:tcPr>
          <w:p w14:paraId="220F8ABB" w14:textId="77777777" w:rsidR="00C94FE6" w:rsidRDefault="00000000">
            <w:pPr>
              <w:keepLines/>
              <w:spacing w:line="240" w:lineRule="auto"/>
              <w:jc w:val="center"/>
            </w:pPr>
            <w:r>
              <w:rPr>
                <w:color w:val="000000"/>
              </w:rPr>
              <w:t>Annual precipitation above the observed wet-day 99th percentile</w:t>
            </w:r>
          </w:p>
        </w:tc>
      </w:tr>
    </w:tbl>
    <w:p w14:paraId="3375A5AB" w14:textId="77777777" w:rsidR="00C94FE6" w:rsidRDefault="00C94FE6">
      <w:pPr>
        <w:spacing w:line="240" w:lineRule="auto"/>
      </w:pPr>
    </w:p>
    <w:p w14:paraId="436161BE" w14:textId="77777777" w:rsidR="00C94FE6" w:rsidRDefault="00000000">
      <w:pPr>
        <w:spacing w:line="240" w:lineRule="auto"/>
      </w:pPr>
      <w:r>
        <w:rPr>
          <w:color w:val="000000"/>
        </w:rPr>
        <w:t>Note: R50mm is study-specific; the remaining measures follow ETCCDI or ETCCDI-style definitions. Wet days have precipitation ≥1 mm.</w:t>
      </w:r>
    </w:p>
    <w:p w14:paraId="09EFA0F3" w14:textId="77777777" w:rsidR="00C94FE6" w:rsidRDefault="00000000">
      <w:pPr>
        <w:pStyle w:val="2"/>
        <w:keepLines/>
      </w:pPr>
      <w:r>
        <w:t>2.4 Historical performance and residual bias</w:t>
      </w:r>
    </w:p>
    <w:p w14:paraId="48FE4578" w14:textId="77777777" w:rsidR="00C94FE6" w:rsidRDefault="00000000">
      <w:pPr>
        <w:jc w:val="both"/>
      </w:pPr>
      <w:r>
        <w:rPr>
          <w:color w:val="000000"/>
        </w:rPr>
        <w:t>Raw and corrected historical simulations were aligned with observations at each model–gauge pair. Daily and monthly performance was summarized by Pearson correlation (r), root mean squared error (RMSE), mean absolute error (MAE), percentage bias (PBIAS), Nash–Sutcliffe efficiency (NSE), and Kling–Gupta efficiency (KGE). Taylor-style correlation and variability diagnostics are useful summaries [9], but bias- and error-sensitive diagnostics were retained because no single metric establishes precipitation skill [7,10]. Results are medians and interquartile ranges across 91 model–gauge pairs.</w:t>
      </w:r>
    </w:p>
    <w:p w14:paraId="5DBBF977" w14:textId="77777777" w:rsidR="00C94FE6" w:rsidRDefault="00000000">
      <w:pPr>
        <w:jc w:val="both"/>
      </w:pPr>
      <w:r>
        <w:rPr>
          <w:color w:val="000000"/>
        </w:rPr>
        <w:t>Residual bias was calculated for each index over 1995–2014 as the bias-corrected historical mean minus the observed mean. This interval was chosen to match the IPCC AR6 reference period [1]. Raw-to-corrected change-signal preservation was evaluated for every model, scenario, period, and index by comparing each future period with the corresponding raw or corrected 1995–2014 model baseline.</w:t>
      </w:r>
    </w:p>
    <w:p w14:paraId="0F5E2127" w14:textId="77777777" w:rsidR="00C94FE6" w:rsidRDefault="00000000">
      <w:pPr>
        <w:pStyle w:val="2"/>
        <w:keepLines/>
      </w:pPr>
      <w:r>
        <w:t>2.5 Projection estimands and robustness</w:t>
      </w:r>
    </w:p>
    <w:p w14:paraId="292A7D42" w14:textId="77777777" w:rsidR="00C94FE6" w:rsidRDefault="00000000">
      <w:pPr>
        <w:jc w:val="both"/>
      </w:pPr>
      <w:r>
        <w:rPr>
          <w:color w:val="000000"/>
        </w:rPr>
        <w:t>The near-, mid-, and long-term periods were 2021–2040, 2041–2060, and 2081–2100, respectively. For model m, station s, index k, scenario q, and future period w, the primary absolute change was</w:t>
      </w:r>
    </w:p>
    <w:p w14:paraId="5E140745" w14:textId="77777777" w:rsidR="00C94FE6" w:rsidRDefault="00000000">
      <w:pPr>
        <w:jc w:val="both"/>
      </w:pPr>
      <w:r>
        <w:rPr>
          <w:color w:val="000000"/>
        </w:rPr>
        <w:t>Δmodel = mean(BC futurem,s,k,q,w) − mean(BC historicalm,s,k,1995–2014).</w:t>
      </w:r>
    </w:p>
    <w:p w14:paraId="4167C80B" w14:textId="77777777" w:rsidR="00C94FE6" w:rsidRDefault="00000000">
      <w:pPr>
        <w:jc w:val="both"/>
      </w:pPr>
      <w:r>
        <w:rPr>
          <w:color w:val="000000"/>
        </w:rPr>
        <w:t>The sensitivity estimand replaced the model historical term with the observed station mean for 1995–2014. Relative changes were calculated after first averaging the 13 stations for each model, thereby avoiding disproportionate weight from stations with small denominators. The multimodel central estimate was the median of seven model-level regional changes; the 25th–75th percentile range described spread. A change was classified as a robust increase or decrease when at least six of seven models (≥80%) agreed on its sign. Other combinations were classified as ambiguous. Equal weighting was retained for transparency, while recognizing that model dependence can make strict model democracy suboptimal [11].</w:t>
      </w:r>
    </w:p>
    <w:p w14:paraId="45723001" w14:textId="77777777" w:rsidR="00C94FE6" w:rsidRDefault="00000000">
      <w:pPr>
        <w:pStyle w:val="1"/>
        <w:keepLines/>
      </w:pPr>
      <w:r>
        <w:lastRenderedPageBreak/>
        <w:t>3. Results</w:t>
      </w:r>
    </w:p>
    <w:p w14:paraId="48A86051" w14:textId="77777777" w:rsidR="00C94FE6" w:rsidRDefault="00000000">
      <w:pPr>
        <w:pStyle w:val="2"/>
        <w:keepLines/>
      </w:pPr>
      <w:r>
        <w:t>3.1 Historical performance and residual bias</w:t>
      </w:r>
    </w:p>
    <w:p w14:paraId="7E83E7FA" w14:textId="77777777" w:rsidR="00C94FE6" w:rsidRDefault="00000000">
      <w:pPr>
        <w:jc w:val="both"/>
      </w:pPr>
      <w:r>
        <w:rPr>
          <w:color w:val="000000"/>
        </w:rPr>
        <w:t>Bias correction improved some but not all aspects of historical performance (Table 2). At the daily model–gauge scale, median PBIAS improved from −21.9% to −9.0%, correlation rose from 0.037 to 0.057, and KGE rose from −0.120 to 0.012. However, median daily RMSE increased from 10.18 to 11.84 mm day−1, and only 8.8% of model–gauge pairs had lower RMSE after correction. At monthly scale, median correlation increased from 0.272 to 0.441 and KGE from 0.162 to 0.385, while RMSE increased from 103.98 to 108.73 mm month−1. Across both scales, absolute PBIAS improved for 67.0% of pairs; KGE improved for 85.7%.</w:t>
      </w:r>
    </w:p>
    <w:p w14:paraId="256758E2" w14:textId="77777777" w:rsidR="00C94FE6" w:rsidRDefault="00000000">
      <w:pPr>
        <w:keepNext/>
        <w:spacing w:line="240" w:lineRule="auto"/>
      </w:pPr>
      <w:r>
        <w:rPr>
          <w:b/>
          <w:color w:val="000000"/>
        </w:rPr>
        <w:t xml:space="preserve">Table 2. </w:t>
      </w:r>
      <w:r>
        <w:rPr>
          <w:color w:val="000000"/>
        </w:rPr>
        <w:t>Median historical performance across 91 model–gauge pairs.</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008"/>
        <w:gridCol w:w="1800"/>
        <w:gridCol w:w="720"/>
        <w:gridCol w:w="1800"/>
        <w:gridCol w:w="1224"/>
        <w:gridCol w:w="1080"/>
        <w:gridCol w:w="1080"/>
      </w:tblGrid>
      <w:tr w:rsidR="00C94FE6" w14:paraId="19EB0DAE" w14:textId="77777777">
        <w:trPr>
          <w:tblHeader/>
          <w:jc w:val="center"/>
        </w:trPr>
        <w:tc>
          <w:tcPr>
            <w:tcW w:w="1008" w:type="dxa"/>
            <w:tcBorders>
              <w:bottom w:val="single" w:sz="6" w:space="0" w:color="000000"/>
            </w:tcBorders>
            <w:tcMar>
              <w:top w:w="35" w:type="dxa"/>
              <w:left w:w="55" w:type="dxa"/>
              <w:bottom w:w="35" w:type="dxa"/>
              <w:right w:w="55" w:type="dxa"/>
            </w:tcMar>
            <w:vAlign w:val="center"/>
          </w:tcPr>
          <w:p w14:paraId="08C9A1B5" w14:textId="77777777" w:rsidR="00C94FE6" w:rsidRDefault="00000000">
            <w:pPr>
              <w:keepLines/>
              <w:spacing w:line="240" w:lineRule="auto"/>
              <w:jc w:val="center"/>
            </w:pPr>
            <w:r>
              <w:rPr>
                <w:b/>
                <w:color w:val="000000"/>
              </w:rPr>
              <w:t>Scale</w:t>
            </w:r>
          </w:p>
        </w:tc>
        <w:tc>
          <w:tcPr>
            <w:tcW w:w="1800" w:type="dxa"/>
            <w:tcBorders>
              <w:bottom w:val="single" w:sz="6" w:space="0" w:color="000000"/>
            </w:tcBorders>
            <w:tcMar>
              <w:top w:w="35" w:type="dxa"/>
              <w:left w:w="55" w:type="dxa"/>
              <w:bottom w:w="35" w:type="dxa"/>
              <w:right w:w="55" w:type="dxa"/>
            </w:tcMar>
            <w:vAlign w:val="center"/>
          </w:tcPr>
          <w:p w14:paraId="3A4D5ACC" w14:textId="77777777" w:rsidR="00C94FE6" w:rsidRDefault="00000000">
            <w:pPr>
              <w:keepLines/>
              <w:spacing w:line="240" w:lineRule="auto"/>
              <w:jc w:val="center"/>
            </w:pPr>
            <w:r>
              <w:rPr>
                <w:b/>
                <w:color w:val="000000"/>
              </w:rPr>
              <w:t>Series</w:t>
            </w:r>
          </w:p>
        </w:tc>
        <w:tc>
          <w:tcPr>
            <w:tcW w:w="720" w:type="dxa"/>
            <w:tcBorders>
              <w:bottom w:val="single" w:sz="6" w:space="0" w:color="000000"/>
            </w:tcBorders>
            <w:tcMar>
              <w:top w:w="35" w:type="dxa"/>
              <w:left w:w="55" w:type="dxa"/>
              <w:bottom w:w="35" w:type="dxa"/>
              <w:right w:w="55" w:type="dxa"/>
            </w:tcMar>
            <w:vAlign w:val="center"/>
          </w:tcPr>
          <w:p w14:paraId="44A106DF" w14:textId="77777777" w:rsidR="00C94FE6" w:rsidRDefault="00000000">
            <w:pPr>
              <w:keepLines/>
              <w:spacing w:line="240" w:lineRule="auto"/>
              <w:jc w:val="center"/>
            </w:pPr>
            <w:r>
              <w:rPr>
                <w:b/>
                <w:color w:val="000000"/>
              </w:rPr>
              <w:t>r</w:t>
            </w:r>
          </w:p>
        </w:tc>
        <w:tc>
          <w:tcPr>
            <w:tcW w:w="1800" w:type="dxa"/>
            <w:tcBorders>
              <w:bottom w:val="single" w:sz="6" w:space="0" w:color="000000"/>
            </w:tcBorders>
            <w:tcMar>
              <w:top w:w="35" w:type="dxa"/>
              <w:left w:w="55" w:type="dxa"/>
              <w:bottom w:w="35" w:type="dxa"/>
              <w:right w:w="55" w:type="dxa"/>
            </w:tcMar>
            <w:vAlign w:val="center"/>
          </w:tcPr>
          <w:p w14:paraId="70916CC7" w14:textId="77777777" w:rsidR="00C94FE6" w:rsidRDefault="00000000">
            <w:pPr>
              <w:keepLines/>
              <w:spacing w:line="240" w:lineRule="auto"/>
              <w:jc w:val="center"/>
            </w:pPr>
            <w:r>
              <w:rPr>
                <w:b/>
                <w:color w:val="000000"/>
              </w:rPr>
              <w:t>RMSE</w:t>
            </w:r>
          </w:p>
        </w:tc>
        <w:tc>
          <w:tcPr>
            <w:tcW w:w="1224" w:type="dxa"/>
            <w:tcBorders>
              <w:bottom w:val="single" w:sz="6" w:space="0" w:color="000000"/>
            </w:tcBorders>
            <w:tcMar>
              <w:top w:w="35" w:type="dxa"/>
              <w:left w:w="55" w:type="dxa"/>
              <w:bottom w:w="35" w:type="dxa"/>
              <w:right w:w="55" w:type="dxa"/>
            </w:tcMar>
            <w:vAlign w:val="center"/>
          </w:tcPr>
          <w:p w14:paraId="16071158" w14:textId="77777777" w:rsidR="00C94FE6" w:rsidRDefault="00000000">
            <w:pPr>
              <w:keepLines/>
              <w:spacing w:line="240" w:lineRule="auto"/>
              <w:jc w:val="center"/>
            </w:pPr>
            <w:r>
              <w:rPr>
                <w:b/>
                <w:color w:val="000000"/>
              </w:rPr>
              <w:t>PBIAS (%)</w:t>
            </w:r>
          </w:p>
        </w:tc>
        <w:tc>
          <w:tcPr>
            <w:tcW w:w="1080" w:type="dxa"/>
            <w:tcBorders>
              <w:bottom w:val="single" w:sz="6" w:space="0" w:color="000000"/>
            </w:tcBorders>
            <w:tcMar>
              <w:top w:w="35" w:type="dxa"/>
              <w:left w:w="55" w:type="dxa"/>
              <w:bottom w:w="35" w:type="dxa"/>
              <w:right w:w="55" w:type="dxa"/>
            </w:tcMar>
            <w:vAlign w:val="center"/>
          </w:tcPr>
          <w:p w14:paraId="28312AF9" w14:textId="77777777" w:rsidR="00C94FE6" w:rsidRDefault="00000000">
            <w:pPr>
              <w:keepLines/>
              <w:spacing w:line="240" w:lineRule="auto"/>
              <w:jc w:val="center"/>
            </w:pPr>
            <w:r>
              <w:rPr>
                <w:b/>
                <w:color w:val="000000"/>
              </w:rPr>
              <w:t>NSE</w:t>
            </w:r>
          </w:p>
        </w:tc>
        <w:tc>
          <w:tcPr>
            <w:tcW w:w="1080" w:type="dxa"/>
            <w:tcBorders>
              <w:bottom w:val="single" w:sz="6" w:space="0" w:color="000000"/>
            </w:tcBorders>
            <w:tcMar>
              <w:top w:w="35" w:type="dxa"/>
              <w:left w:w="55" w:type="dxa"/>
              <w:bottom w:w="35" w:type="dxa"/>
              <w:right w:w="55" w:type="dxa"/>
            </w:tcMar>
            <w:vAlign w:val="center"/>
          </w:tcPr>
          <w:p w14:paraId="014A494F" w14:textId="77777777" w:rsidR="00C94FE6" w:rsidRDefault="00000000">
            <w:pPr>
              <w:keepLines/>
              <w:spacing w:line="240" w:lineRule="auto"/>
              <w:jc w:val="center"/>
            </w:pPr>
            <w:r>
              <w:rPr>
                <w:b/>
                <w:color w:val="000000"/>
              </w:rPr>
              <w:t>KGE</w:t>
            </w:r>
          </w:p>
        </w:tc>
      </w:tr>
      <w:tr w:rsidR="00C94FE6" w14:paraId="5334C3EC" w14:textId="77777777">
        <w:trPr>
          <w:jc w:val="center"/>
        </w:trPr>
        <w:tc>
          <w:tcPr>
            <w:tcW w:w="1008" w:type="dxa"/>
            <w:tcMar>
              <w:top w:w="35" w:type="dxa"/>
              <w:left w:w="55" w:type="dxa"/>
              <w:bottom w:w="35" w:type="dxa"/>
              <w:right w:w="55" w:type="dxa"/>
            </w:tcMar>
            <w:vAlign w:val="center"/>
          </w:tcPr>
          <w:p w14:paraId="6978859B" w14:textId="77777777" w:rsidR="00C94FE6" w:rsidRDefault="00000000">
            <w:pPr>
              <w:keepLines/>
              <w:spacing w:line="240" w:lineRule="auto"/>
            </w:pPr>
            <w:r>
              <w:rPr>
                <w:color w:val="000000"/>
              </w:rPr>
              <w:t>Daily</w:t>
            </w:r>
          </w:p>
        </w:tc>
        <w:tc>
          <w:tcPr>
            <w:tcW w:w="1800" w:type="dxa"/>
            <w:tcMar>
              <w:top w:w="35" w:type="dxa"/>
              <w:left w:w="55" w:type="dxa"/>
              <w:bottom w:w="35" w:type="dxa"/>
              <w:right w:w="55" w:type="dxa"/>
            </w:tcMar>
            <w:vAlign w:val="center"/>
          </w:tcPr>
          <w:p w14:paraId="4FAA75E5" w14:textId="77777777" w:rsidR="00C94FE6" w:rsidRDefault="00000000">
            <w:pPr>
              <w:keepLines/>
              <w:spacing w:line="240" w:lineRule="auto"/>
            </w:pPr>
            <w:r>
              <w:rPr>
                <w:color w:val="000000"/>
              </w:rPr>
              <w:t>Raw</w:t>
            </w:r>
          </w:p>
        </w:tc>
        <w:tc>
          <w:tcPr>
            <w:tcW w:w="720" w:type="dxa"/>
            <w:tcMar>
              <w:top w:w="35" w:type="dxa"/>
              <w:left w:w="55" w:type="dxa"/>
              <w:bottom w:w="35" w:type="dxa"/>
              <w:right w:w="55" w:type="dxa"/>
            </w:tcMar>
            <w:vAlign w:val="center"/>
          </w:tcPr>
          <w:p w14:paraId="5979A79C" w14:textId="77777777" w:rsidR="00C94FE6" w:rsidRDefault="00000000">
            <w:pPr>
              <w:keepLines/>
              <w:spacing w:line="240" w:lineRule="auto"/>
              <w:jc w:val="center"/>
            </w:pPr>
            <w:r>
              <w:rPr>
                <w:color w:val="000000"/>
              </w:rPr>
              <w:t>0.037</w:t>
            </w:r>
          </w:p>
        </w:tc>
        <w:tc>
          <w:tcPr>
            <w:tcW w:w="1800" w:type="dxa"/>
            <w:tcMar>
              <w:top w:w="35" w:type="dxa"/>
              <w:left w:w="55" w:type="dxa"/>
              <w:bottom w:w="35" w:type="dxa"/>
              <w:right w:w="55" w:type="dxa"/>
            </w:tcMar>
            <w:vAlign w:val="center"/>
          </w:tcPr>
          <w:p w14:paraId="2B1FE836" w14:textId="77777777" w:rsidR="00C94FE6" w:rsidRDefault="00000000">
            <w:pPr>
              <w:keepLines/>
              <w:spacing w:line="240" w:lineRule="auto"/>
              <w:jc w:val="center"/>
            </w:pPr>
            <w:r>
              <w:rPr>
                <w:color w:val="000000"/>
              </w:rPr>
              <w:t>10.18 mm d⁻¹</w:t>
            </w:r>
          </w:p>
        </w:tc>
        <w:tc>
          <w:tcPr>
            <w:tcW w:w="1224" w:type="dxa"/>
            <w:tcMar>
              <w:top w:w="35" w:type="dxa"/>
              <w:left w:w="55" w:type="dxa"/>
              <w:bottom w:w="35" w:type="dxa"/>
              <w:right w:w="55" w:type="dxa"/>
            </w:tcMar>
            <w:vAlign w:val="center"/>
          </w:tcPr>
          <w:p w14:paraId="021C1F9C" w14:textId="77777777" w:rsidR="00C94FE6" w:rsidRDefault="00000000">
            <w:pPr>
              <w:keepLines/>
              <w:spacing w:line="240" w:lineRule="auto"/>
              <w:jc w:val="center"/>
            </w:pPr>
            <w:r>
              <w:rPr>
                <w:color w:val="000000"/>
              </w:rPr>
              <w:t>-21.9</w:t>
            </w:r>
          </w:p>
        </w:tc>
        <w:tc>
          <w:tcPr>
            <w:tcW w:w="1080" w:type="dxa"/>
            <w:tcMar>
              <w:top w:w="35" w:type="dxa"/>
              <w:left w:w="55" w:type="dxa"/>
              <w:bottom w:w="35" w:type="dxa"/>
              <w:right w:w="55" w:type="dxa"/>
            </w:tcMar>
            <w:vAlign w:val="center"/>
          </w:tcPr>
          <w:p w14:paraId="0BF55BCC" w14:textId="77777777" w:rsidR="00C94FE6" w:rsidRDefault="00000000">
            <w:pPr>
              <w:keepLines/>
              <w:spacing w:line="240" w:lineRule="auto"/>
              <w:jc w:val="center"/>
            </w:pPr>
            <w:r>
              <w:rPr>
                <w:color w:val="000000"/>
              </w:rPr>
              <w:t>-0.353</w:t>
            </w:r>
          </w:p>
        </w:tc>
        <w:tc>
          <w:tcPr>
            <w:tcW w:w="1080" w:type="dxa"/>
            <w:tcMar>
              <w:top w:w="35" w:type="dxa"/>
              <w:left w:w="55" w:type="dxa"/>
              <w:bottom w:w="35" w:type="dxa"/>
              <w:right w:w="55" w:type="dxa"/>
            </w:tcMar>
            <w:vAlign w:val="center"/>
          </w:tcPr>
          <w:p w14:paraId="5ECF5676" w14:textId="77777777" w:rsidR="00C94FE6" w:rsidRDefault="00000000">
            <w:pPr>
              <w:keepLines/>
              <w:spacing w:line="240" w:lineRule="auto"/>
              <w:jc w:val="center"/>
            </w:pPr>
            <w:r>
              <w:rPr>
                <w:color w:val="000000"/>
              </w:rPr>
              <w:t>-0.120</w:t>
            </w:r>
          </w:p>
        </w:tc>
      </w:tr>
      <w:tr w:rsidR="00C94FE6" w14:paraId="5B0D85B0" w14:textId="77777777">
        <w:trPr>
          <w:jc w:val="center"/>
        </w:trPr>
        <w:tc>
          <w:tcPr>
            <w:tcW w:w="1008" w:type="dxa"/>
            <w:tcMar>
              <w:top w:w="35" w:type="dxa"/>
              <w:left w:w="55" w:type="dxa"/>
              <w:bottom w:w="35" w:type="dxa"/>
              <w:right w:w="55" w:type="dxa"/>
            </w:tcMar>
            <w:vAlign w:val="center"/>
          </w:tcPr>
          <w:p w14:paraId="2A4D2833" w14:textId="77777777" w:rsidR="00C94FE6" w:rsidRDefault="00000000">
            <w:pPr>
              <w:keepLines/>
              <w:spacing w:line="240" w:lineRule="auto"/>
            </w:pPr>
            <w:r>
              <w:rPr>
                <w:color w:val="000000"/>
              </w:rPr>
              <w:t>Daily</w:t>
            </w:r>
          </w:p>
        </w:tc>
        <w:tc>
          <w:tcPr>
            <w:tcW w:w="1800" w:type="dxa"/>
            <w:tcMar>
              <w:top w:w="35" w:type="dxa"/>
              <w:left w:w="55" w:type="dxa"/>
              <w:bottom w:w="35" w:type="dxa"/>
              <w:right w:w="55" w:type="dxa"/>
            </w:tcMar>
            <w:vAlign w:val="center"/>
          </w:tcPr>
          <w:p w14:paraId="6D0C02D8" w14:textId="77777777" w:rsidR="00C94FE6" w:rsidRDefault="00000000">
            <w:pPr>
              <w:keepLines/>
              <w:spacing w:line="240" w:lineRule="auto"/>
            </w:pPr>
            <w:r>
              <w:rPr>
                <w:color w:val="000000"/>
              </w:rPr>
              <w:t>Bias-corrected</w:t>
            </w:r>
          </w:p>
        </w:tc>
        <w:tc>
          <w:tcPr>
            <w:tcW w:w="720" w:type="dxa"/>
            <w:tcMar>
              <w:top w:w="35" w:type="dxa"/>
              <w:left w:w="55" w:type="dxa"/>
              <w:bottom w:w="35" w:type="dxa"/>
              <w:right w:w="55" w:type="dxa"/>
            </w:tcMar>
            <w:vAlign w:val="center"/>
          </w:tcPr>
          <w:p w14:paraId="00D5FBE7" w14:textId="77777777" w:rsidR="00C94FE6" w:rsidRDefault="00000000">
            <w:pPr>
              <w:keepLines/>
              <w:spacing w:line="240" w:lineRule="auto"/>
              <w:jc w:val="center"/>
            </w:pPr>
            <w:r>
              <w:rPr>
                <w:color w:val="000000"/>
              </w:rPr>
              <w:t>0.057</w:t>
            </w:r>
          </w:p>
        </w:tc>
        <w:tc>
          <w:tcPr>
            <w:tcW w:w="1800" w:type="dxa"/>
            <w:tcMar>
              <w:top w:w="35" w:type="dxa"/>
              <w:left w:w="55" w:type="dxa"/>
              <w:bottom w:w="35" w:type="dxa"/>
              <w:right w:w="55" w:type="dxa"/>
            </w:tcMar>
            <w:vAlign w:val="center"/>
          </w:tcPr>
          <w:p w14:paraId="2C2D81E5" w14:textId="77777777" w:rsidR="00C94FE6" w:rsidRDefault="00000000">
            <w:pPr>
              <w:keepLines/>
              <w:spacing w:line="240" w:lineRule="auto"/>
              <w:jc w:val="center"/>
            </w:pPr>
            <w:r>
              <w:rPr>
                <w:color w:val="000000"/>
              </w:rPr>
              <w:t>11.84 mm d⁻¹</w:t>
            </w:r>
          </w:p>
        </w:tc>
        <w:tc>
          <w:tcPr>
            <w:tcW w:w="1224" w:type="dxa"/>
            <w:tcMar>
              <w:top w:w="35" w:type="dxa"/>
              <w:left w:w="55" w:type="dxa"/>
              <w:bottom w:w="35" w:type="dxa"/>
              <w:right w:w="55" w:type="dxa"/>
            </w:tcMar>
            <w:vAlign w:val="center"/>
          </w:tcPr>
          <w:p w14:paraId="68DCF1C7" w14:textId="77777777" w:rsidR="00C94FE6" w:rsidRDefault="00000000">
            <w:pPr>
              <w:keepLines/>
              <w:spacing w:line="240" w:lineRule="auto"/>
              <w:jc w:val="center"/>
            </w:pPr>
            <w:r>
              <w:rPr>
                <w:color w:val="000000"/>
              </w:rPr>
              <w:t>-9.0</w:t>
            </w:r>
          </w:p>
        </w:tc>
        <w:tc>
          <w:tcPr>
            <w:tcW w:w="1080" w:type="dxa"/>
            <w:tcMar>
              <w:top w:w="35" w:type="dxa"/>
              <w:left w:w="55" w:type="dxa"/>
              <w:bottom w:w="35" w:type="dxa"/>
              <w:right w:w="55" w:type="dxa"/>
            </w:tcMar>
            <w:vAlign w:val="center"/>
          </w:tcPr>
          <w:p w14:paraId="7F343E7C" w14:textId="77777777" w:rsidR="00C94FE6" w:rsidRDefault="00000000">
            <w:pPr>
              <w:keepLines/>
              <w:spacing w:line="240" w:lineRule="auto"/>
              <w:jc w:val="center"/>
            </w:pPr>
            <w:r>
              <w:rPr>
                <w:color w:val="000000"/>
              </w:rPr>
              <w:t>-0.968</w:t>
            </w:r>
          </w:p>
        </w:tc>
        <w:tc>
          <w:tcPr>
            <w:tcW w:w="1080" w:type="dxa"/>
            <w:tcMar>
              <w:top w:w="35" w:type="dxa"/>
              <w:left w:w="55" w:type="dxa"/>
              <w:bottom w:w="35" w:type="dxa"/>
              <w:right w:w="55" w:type="dxa"/>
            </w:tcMar>
            <w:vAlign w:val="center"/>
          </w:tcPr>
          <w:p w14:paraId="124E25D1" w14:textId="77777777" w:rsidR="00C94FE6" w:rsidRDefault="00000000">
            <w:pPr>
              <w:keepLines/>
              <w:spacing w:line="240" w:lineRule="auto"/>
              <w:jc w:val="center"/>
            </w:pPr>
            <w:r>
              <w:rPr>
                <w:color w:val="000000"/>
              </w:rPr>
              <w:t>0.012</w:t>
            </w:r>
          </w:p>
        </w:tc>
      </w:tr>
      <w:tr w:rsidR="00C94FE6" w14:paraId="1A3F41F6" w14:textId="77777777">
        <w:trPr>
          <w:jc w:val="center"/>
        </w:trPr>
        <w:tc>
          <w:tcPr>
            <w:tcW w:w="1008" w:type="dxa"/>
            <w:tcMar>
              <w:top w:w="35" w:type="dxa"/>
              <w:left w:w="55" w:type="dxa"/>
              <w:bottom w:w="35" w:type="dxa"/>
              <w:right w:w="55" w:type="dxa"/>
            </w:tcMar>
            <w:vAlign w:val="center"/>
          </w:tcPr>
          <w:p w14:paraId="30CE84B5" w14:textId="77777777" w:rsidR="00C94FE6" w:rsidRDefault="00000000">
            <w:pPr>
              <w:keepLines/>
              <w:spacing w:line="240" w:lineRule="auto"/>
            </w:pPr>
            <w:r>
              <w:rPr>
                <w:color w:val="000000"/>
              </w:rPr>
              <w:t>Monthly</w:t>
            </w:r>
          </w:p>
        </w:tc>
        <w:tc>
          <w:tcPr>
            <w:tcW w:w="1800" w:type="dxa"/>
            <w:tcMar>
              <w:top w:w="35" w:type="dxa"/>
              <w:left w:w="55" w:type="dxa"/>
              <w:bottom w:w="35" w:type="dxa"/>
              <w:right w:w="55" w:type="dxa"/>
            </w:tcMar>
            <w:vAlign w:val="center"/>
          </w:tcPr>
          <w:p w14:paraId="7DC5F070" w14:textId="77777777" w:rsidR="00C94FE6" w:rsidRDefault="00000000">
            <w:pPr>
              <w:keepLines/>
              <w:spacing w:line="240" w:lineRule="auto"/>
            </w:pPr>
            <w:r>
              <w:rPr>
                <w:color w:val="000000"/>
              </w:rPr>
              <w:t>Raw</w:t>
            </w:r>
          </w:p>
        </w:tc>
        <w:tc>
          <w:tcPr>
            <w:tcW w:w="720" w:type="dxa"/>
            <w:tcMar>
              <w:top w:w="35" w:type="dxa"/>
              <w:left w:w="55" w:type="dxa"/>
              <w:bottom w:w="35" w:type="dxa"/>
              <w:right w:w="55" w:type="dxa"/>
            </w:tcMar>
            <w:vAlign w:val="center"/>
          </w:tcPr>
          <w:p w14:paraId="2DA5ECFA" w14:textId="77777777" w:rsidR="00C94FE6" w:rsidRDefault="00000000">
            <w:pPr>
              <w:keepLines/>
              <w:spacing w:line="240" w:lineRule="auto"/>
              <w:jc w:val="center"/>
            </w:pPr>
            <w:r>
              <w:rPr>
                <w:color w:val="000000"/>
              </w:rPr>
              <w:t>0.272</w:t>
            </w:r>
          </w:p>
        </w:tc>
        <w:tc>
          <w:tcPr>
            <w:tcW w:w="1800" w:type="dxa"/>
            <w:tcMar>
              <w:top w:w="35" w:type="dxa"/>
              <w:left w:w="55" w:type="dxa"/>
              <w:bottom w:w="35" w:type="dxa"/>
              <w:right w:w="55" w:type="dxa"/>
            </w:tcMar>
            <w:vAlign w:val="center"/>
          </w:tcPr>
          <w:p w14:paraId="51810910" w14:textId="77777777" w:rsidR="00C94FE6" w:rsidRDefault="00000000">
            <w:pPr>
              <w:keepLines/>
              <w:spacing w:line="240" w:lineRule="auto"/>
              <w:jc w:val="center"/>
            </w:pPr>
            <w:r>
              <w:rPr>
                <w:color w:val="000000"/>
              </w:rPr>
              <w:t>103.98 mm month⁻¹</w:t>
            </w:r>
          </w:p>
        </w:tc>
        <w:tc>
          <w:tcPr>
            <w:tcW w:w="1224" w:type="dxa"/>
            <w:tcMar>
              <w:top w:w="35" w:type="dxa"/>
              <w:left w:w="55" w:type="dxa"/>
              <w:bottom w:w="35" w:type="dxa"/>
              <w:right w:w="55" w:type="dxa"/>
            </w:tcMar>
            <w:vAlign w:val="center"/>
          </w:tcPr>
          <w:p w14:paraId="5E458746" w14:textId="77777777" w:rsidR="00C94FE6" w:rsidRDefault="00000000">
            <w:pPr>
              <w:keepLines/>
              <w:spacing w:line="240" w:lineRule="auto"/>
              <w:jc w:val="center"/>
            </w:pPr>
            <w:r>
              <w:rPr>
                <w:color w:val="000000"/>
              </w:rPr>
              <w:t>-21.9</w:t>
            </w:r>
          </w:p>
        </w:tc>
        <w:tc>
          <w:tcPr>
            <w:tcW w:w="1080" w:type="dxa"/>
            <w:tcMar>
              <w:top w:w="35" w:type="dxa"/>
              <w:left w:w="55" w:type="dxa"/>
              <w:bottom w:w="35" w:type="dxa"/>
              <w:right w:w="55" w:type="dxa"/>
            </w:tcMar>
            <w:vAlign w:val="center"/>
          </w:tcPr>
          <w:p w14:paraId="2C6367D1" w14:textId="77777777" w:rsidR="00C94FE6" w:rsidRDefault="00000000">
            <w:pPr>
              <w:keepLines/>
              <w:spacing w:line="240" w:lineRule="auto"/>
              <w:jc w:val="center"/>
            </w:pPr>
            <w:r>
              <w:rPr>
                <w:color w:val="000000"/>
              </w:rPr>
              <w:t>-0.308</w:t>
            </w:r>
          </w:p>
        </w:tc>
        <w:tc>
          <w:tcPr>
            <w:tcW w:w="1080" w:type="dxa"/>
            <w:tcMar>
              <w:top w:w="35" w:type="dxa"/>
              <w:left w:w="55" w:type="dxa"/>
              <w:bottom w:w="35" w:type="dxa"/>
              <w:right w:w="55" w:type="dxa"/>
            </w:tcMar>
            <w:vAlign w:val="center"/>
          </w:tcPr>
          <w:p w14:paraId="7C92792A" w14:textId="77777777" w:rsidR="00C94FE6" w:rsidRDefault="00000000">
            <w:pPr>
              <w:keepLines/>
              <w:spacing w:line="240" w:lineRule="auto"/>
              <w:jc w:val="center"/>
            </w:pPr>
            <w:r>
              <w:rPr>
                <w:color w:val="000000"/>
              </w:rPr>
              <w:t>0.162</w:t>
            </w:r>
          </w:p>
        </w:tc>
      </w:tr>
      <w:tr w:rsidR="00C94FE6" w14:paraId="338D7F84" w14:textId="77777777">
        <w:trPr>
          <w:jc w:val="center"/>
        </w:trPr>
        <w:tc>
          <w:tcPr>
            <w:tcW w:w="1008" w:type="dxa"/>
            <w:tcMar>
              <w:top w:w="35" w:type="dxa"/>
              <w:left w:w="55" w:type="dxa"/>
              <w:bottom w:w="35" w:type="dxa"/>
              <w:right w:w="55" w:type="dxa"/>
            </w:tcMar>
            <w:vAlign w:val="center"/>
          </w:tcPr>
          <w:p w14:paraId="07D23E08" w14:textId="77777777" w:rsidR="00C94FE6" w:rsidRDefault="00000000">
            <w:pPr>
              <w:keepLines/>
              <w:spacing w:line="240" w:lineRule="auto"/>
            </w:pPr>
            <w:r>
              <w:rPr>
                <w:color w:val="000000"/>
              </w:rPr>
              <w:t>Monthly</w:t>
            </w:r>
          </w:p>
        </w:tc>
        <w:tc>
          <w:tcPr>
            <w:tcW w:w="1800" w:type="dxa"/>
            <w:tcMar>
              <w:top w:w="35" w:type="dxa"/>
              <w:left w:w="55" w:type="dxa"/>
              <w:bottom w:w="35" w:type="dxa"/>
              <w:right w:w="55" w:type="dxa"/>
            </w:tcMar>
            <w:vAlign w:val="center"/>
          </w:tcPr>
          <w:p w14:paraId="27A26D35" w14:textId="77777777" w:rsidR="00C94FE6" w:rsidRDefault="00000000">
            <w:pPr>
              <w:keepLines/>
              <w:spacing w:line="240" w:lineRule="auto"/>
            </w:pPr>
            <w:r>
              <w:rPr>
                <w:color w:val="000000"/>
              </w:rPr>
              <w:t>Bias-corrected</w:t>
            </w:r>
          </w:p>
        </w:tc>
        <w:tc>
          <w:tcPr>
            <w:tcW w:w="720" w:type="dxa"/>
            <w:tcMar>
              <w:top w:w="35" w:type="dxa"/>
              <w:left w:w="55" w:type="dxa"/>
              <w:bottom w:w="35" w:type="dxa"/>
              <w:right w:w="55" w:type="dxa"/>
            </w:tcMar>
            <w:vAlign w:val="center"/>
          </w:tcPr>
          <w:p w14:paraId="1D445BDA" w14:textId="77777777" w:rsidR="00C94FE6" w:rsidRDefault="00000000">
            <w:pPr>
              <w:keepLines/>
              <w:spacing w:line="240" w:lineRule="auto"/>
              <w:jc w:val="center"/>
            </w:pPr>
            <w:r>
              <w:rPr>
                <w:color w:val="000000"/>
              </w:rPr>
              <w:t>0.441</w:t>
            </w:r>
          </w:p>
        </w:tc>
        <w:tc>
          <w:tcPr>
            <w:tcW w:w="1800" w:type="dxa"/>
            <w:tcMar>
              <w:top w:w="35" w:type="dxa"/>
              <w:left w:w="55" w:type="dxa"/>
              <w:bottom w:w="35" w:type="dxa"/>
              <w:right w:w="55" w:type="dxa"/>
            </w:tcMar>
            <w:vAlign w:val="center"/>
          </w:tcPr>
          <w:p w14:paraId="62848C9D" w14:textId="77777777" w:rsidR="00C94FE6" w:rsidRDefault="00000000">
            <w:pPr>
              <w:keepLines/>
              <w:spacing w:line="240" w:lineRule="auto"/>
              <w:jc w:val="center"/>
            </w:pPr>
            <w:r>
              <w:rPr>
                <w:color w:val="000000"/>
              </w:rPr>
              <w:t>108.73 mm month⁻¹</w:t>
            </w:r>
          </w:p>
        </w:tc>
        <w:tc>
          <w:tcPr>
            <w:tcW w:w="1224" w:type="dxa"/>
            <w:tcMar>
              <w:top w:w="35" w:type="dxa"/>
              <w:left w:w="55" w:type="dxa"/>
              <w:bottom w:w="35" w:type="dxa"/>
              <w:right w:w="55" w:type="dxa"/>
            </w:tcMar>
            <w:vAlign w:val="center"/>
          </w:tcPr>
          <w:p w14:paraId="12135BBF" w14:textId="77777777" w:rsidR="00C94FE6" w:rsidRDefault="00000000">
            <w:pPr>
              <w:keepLines/>
              <w:spacing w:line="240" w:lineRule="auto"/>
              <w:jc w:val="center"/>
            </w:pPr>
            <w:r>
              <w:rPr>
                <w:color w:val="000000"/>
              </w:rPr>
              <w:t>-9.0</w:t>
            </w:r>
          </w:p>
        </w:tc>
        <w:tc>
          <w:tcPr>
            <w:tcW w:w="1080" w:type="dxa"/>
            <w:tcMar>
              <w:top w:w="35" w:type="dxa"/>
              <w:left w:w="55" w:type="dxa"/>
              <w:bottom w:w="35" w:type="dxa"/>
              <w:right w:w="55" w:type="dxa"/>
            </w:tcMar>
            <w:vAlign w:val="center"/>
          </w:tcPr>
          <w:p w14:paraId="0BB379C5" w14:textId="77777777" w:rsidR="00C94FE6" w:rsidRDefault="00000000">
            <w:pPr>
              <w:keepLines/>
              <w:spacing w:line="240" w:lineRule="auto"/>
              <w:jc w:val="center"/>
            </w:pPr>
            <w:r>
              <w:rPr>
                <w:color w:val="000000"/>
              </w:rPr>
              <w:t>-0.344</w:t>
            </w:r>
          </w:p>
        </w:tc>
        <w:tc>
          <w:tcPr>
            <w:tcW w:w="1080" w:type="dxa"/>
            <w:tcMar>
              <w:top w:w="35" w:type="dxa"/>
              <w:left w:w="55" w:type="dxa"/>
              <w:bottom w:w="35" w:type="dxa"/>
              <w:right w:w="55" w:type="dxa"/>
            </w:tcMar>
            <w:vAlign w:val="center"/>
          </w:tcPr>
          <w:p w14:paraId="7F5323B3" w14:textId="77777777" w:rsidR="00C94FE6" w:rsidRDefault="00000000">
            <w:pPr>
              <w:keepLines/>
              <w:spacing w:line="240" w:lineRule="auto"/>
              <w:jc w:val="center"/>
            </w:pPr>
            <w:r>
              <w:rPr>
                <w:color w:val="000000"/>
              </w:rPr>
              <w:t>0.385</w:t>
            </w:r>
          </w:p>
        </w:tc>
      </w:tr>
    </w:tbl>
    <w:p w14:paraId="5661BD99" w14:textId="77777777" w:rsidR="00C94FE6" w:rsidRDefault="00C94FE6">
      <w:pPr>
        <w:spacing w:line="240" w:lineRule="auto"/>
      </w:pPr>
    </w:p>
    <w:p w14:paraId="7EB37DD4" w14:textId="77777777" w:rsidR="00C94FE6" w:rsidRDefault="00000000">
      <w:pPr>
        <w:spacing w:line="240" w:lineRule="auto"/>
      </w:pPr>
      <w:r>
        <w:rPr>
          <w:color w:val="000000"/>
        </w:rPr>
        <w:t>Note: monthly RMSE is for monthly rainfall totals and daily RMSE is for daily rainfall. Lower RMSE and |PBIAS| are better; higher r, NSE, and KGE are better.</w:t>
      </w:r>
    </w:p>
    <w:p w14:paraId="46EF39C2" w14:textId="77777777" w:rsidR="00C94FE6" w:rsidRDefault="00000000">
      <w:pPr>
        <w:jc w:val="both"/>
      </w:pPr>
      <w:r>
        <w:rPr>
          <w:color w:val="000000"/>
        </w:rPr>
        <w:t>Historical correction did not eliminate index-specific errors. Across the seven model-level regional summaries for 1995–2014, median residual bias was +29.6% for CDD, −64.1% for CWD, +18.0% for SDII, +14.7% for Rx5day, +22.1% for R95p, and +20.7% for R99p. PRCPTOT residual bias was smaller (median −5.3%) but ranged sufficiently across models to affect some change estimates. These errors explain why a future-versus-observed contrast can mix model bias with simulated climate change.</w:t>
      </w:r>
    </w:p>
    <w:p w14:paraId="6287982C" w14:textId="77777777" w:rsidR="00C94FE6" w:rsidRDefault="00000000">
      <w:pPr>
        <w:pStyle w:val="2"/>
        <w:keepLines/>
      </w:pPr>
      <w:r>
        <w:t>3.2 Sensitivity to baseline and correction</w:t>
      </w:r>
    </w:p>
    <w:p w14:paraId="06E5C1E1" w14:textId="77777777" w:rsidR="00C94FE6" w:rsidRDefault="00000000">
      <w:pPr>
        <w:jc w:val="both"/>
      </w:pPr>
      <w:r>
        <w:rPr>
          <w:color w:val="000000"/>
        </w:rPr>
        <w:t>Baseline selection materially altered the result (Figure 2). Of 66 scenario–period–index combinations, 25 (37.9%) changed sign when the observed baseline was replaced by the model-consistent historical baseline. The three-class label (robust increase, robust decrease, or ambiguous) changed for 37 combinations (56.1%). These frequencies are descriptive sensitivity results, not hypothesis-test outcomes. The largest departures were associated with large residual biases in CWD, CDD, R20mm, R95p, and R99p. R50mm required separate reporting in absolute units because its small count baselines made percentages unstable.</w:t>
      </w:r>
    </w:p>
    <w:p w14:paraId="374B8BD0" w14:textId="77777777" w:rsidR="00C94FE6" w:rsidRDefault="00000000">
      <w:pPr>
        <w:jc w:val="both"/>
      </w:pPr>
      <w:r>
        <w:rPr>
          <w:color w:val="000000"/>
        </w:rPr>
        <w:t>Bias correction also modified the modeled change signal. Across 462 model–scenario–period–index cases, raw and corrected changes had the same sign in 66.9% of cases. The median absolute difference between their relative changes was 12.1 percentage points. This diagnostic does not by itself prove an error in correction, because fixed-threshold and spell indices can respond nonlinearly to distributional adjustment. It does show that change preservation could not be assumed from the file label alone.</w:t>
      </w:r>
    </w:p>
    <w:p w14:paraId="683F7171" w14:textId="77777777" w:rsidR="00C94FE6" w:rsidRDefault="00000000">
      <w:pPr>
        <w:keepNext/>
        <w:keepLines/>
        <w:spacing w:line="240" w:lineRule="auto"/>
        <w:jc w:val="center"/>
      </w:pPr>
      <w:r>
        <w:rPr>
          <w:noProof/>
        </w:rPr>
        <w:lastRenderedPageBreak/>
        <w:drawing>
          <wp:inline distT="0" distB="0" distL="0" distR="0" wp14:anchorId="1FC151C1" wp14:editId="566A1C66">
            <wp:extent cx="5212080" cy="2867574"/>
            <wp:effectExtent l="0" t="0" r="0" b="0"/>
            <wp:docPr id="2" name="Picture 2" descr="Scatter plot comparing future-change estimates from observed and model-consistent baseline source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2_baseline_sensitivity.png"/>
                    <pic:cNvPicPr/>
                  </pic:nvPicPr>
                  <pic:blipFill>
                    <a:blip r:embed="rId9"/>
                    <a:stretch>
                      <a:fillRect/>
                    </a:stretch>
                  </pic:blipFill>
                  <pic:spPr>
                    <a:xfrm>
                      <a:off x="0" y="0"/>
                      <a:ext cx="5212080" cy="2867574"/>
                    </a:xfrm>
                    <a:prstGeom prst="rect">
                      <a:avLst/>
                    </a:prstGeom>
                  </pic:spPr>
                </pic:pic>
              </a:graphicData>
            </a:graphic>
          </wp:inline>
        </w:drawing>
      </w:r>
    </w:p>
    <w:p w14:paraId="64EFF5CF" w14:textId="77777777" w:rsidR="00C94FE6" w:rsidRDefault="00000000">
      <w:pPr>
        <w:keepLines/>
        <w:spacing w:line="240" w:lineRule="auto"/>
        <w:jc w:val="both"/>
      </w:pPr>
      <w:r>
        <w:rPr>
          <w:b/>
          <w:color w:val="000000"/>
        </w:rPr>
        <w:t xml:space="preserve">Figure 2. </w:t>
      </w:r>
      <w:r>
        <w:rPr>
          <w:color w:val="000000"/>
        </w:rPr>
        <w:t>Sensitivity of regional median relative changes to baseline source. The x-axis uses observations for 1995–2014; the y-axis uses each model's supplied bias-corrected historical series for 1995–2014. Each point is an index–period combination; R50mm is excluded because percentage changes are unstable at small baselines. Crosses mark sign changes and the dashed line is 1:1. Results are descriptive rather than significance tests.</w:t>
      </w:r>
    </w:p>
    <w:p w14:paraId="64B5E668" w14:textId="77777777" w:rsidR="00C94FE6" w:rsidRDefault="00000000">
      <w:pPr>
        <w:pStyle w:val="2"/>
        <w:keepLines/>
      </w:pPr>
      <w:r>
        <w:t>3.3 Audited future changes</w:t>
      </w:r>
    </w:p>
    <w:p w14:paraId="31550650" w14:textId="77777777" w:rsidR="00C94FE6" w:rsidRDefault="00000000">
      <w:pPr>
        <w:jc w:val="both"/>
      </w:pPr>
      <w:r>
        <w:rPr>
          <w:color w:val="000000"/>
        </w:rPr>
        <w:t>The model-consistent results did not support a monotonic province-wide increase in precipitation extremes (Figures 3 and 4; Table 3). Under SSP2-4.5, all near-term indices were ambiguous. In the mid-term, six of seven models supported increases in Rx5day (+12.5%; interquartile range 7.5–27.4%), R95p (+9.9%; 1.5–27.6%), and R99p (+26.5%; 8.4–55.4%). R50mm increased by a median 0.65 days yr−1 (0.18–1.06 days yr−1); its +30.8% relative value is secondary because of denominator sensitivity. SSP2-4.5 long-term changes were ambiguous for all 11 indices.</w:t>
      </w:r>
    </w:p>
    <w:p w14:paraId="25DFFF6F" w14:textId="77777777" w:rsidR="00C94FE6" w:rsidRDefault="00000000">
      <w:pPr>
        <w:jc w:val="both"/>
      </w:pPr>
      <w:r>
        <w:rPr>
          <w:color w:val="000000"/>
        </w:rPr>
        <w:t>Under SSP5-8.5, the near-term signal was also mostly ambiguous; only CWD showed a small robust increase (+0.27 days, +2.2%). The mid-term showed robust but modest reductions in PRCPTOT (−1.9%), SDII (−5.5%), R10mm (−4.5%), and R20mm (−9.4%). By 2081–2100, the ensemble showed a broad and internally consistent reduction in wet-day amount, frequency, and upper-tail totals: PRCPTOT −46.7%, SDII −27.7%, Rx1day −25.6%, Rx5day −25.2%, R95p −64.5%, R99p −62.6%, R10mm −51.1%, R20mm −62.2%, and CWD −14.0%. R50mm decreased by 1.18 days yr−1. PRCPTOT decreased at every gauge with seven-of-seven model agreement; station-level median changes ranged from −51.6% to −27.3%. In contrast, CDD remained ambiguous at regional and station scales. The result is therefore a robust reduction in modeled rainfall amount and wet-event metrics, not evidence of a robust increase in maximum dry-spell length.</w:t>
      </w:r>
    </w:p>
    <w:p w14:paraId="1D570D08" w14:textId="77777777" w:rsidR="00C94FE6" w:rsidRDefault="00000000">
      <w:pPr>
        <w:keepNext/>
        <w:keepLines/>
        <w:spacing w:line="240" w:lineRule="auto"/>
        <w:jc w:val="center"/>
      </w:pPr>
      <w:r>
        <w:rPr>
          <w:noProof/>
        </w:rPr>
        <w:lastRenderedPageBreak/>
        <w:drawing>
          <wp:inline distT="0" distB="0" distL="0" distR="0" wp14:anchorId="3FD0533D" wp14:editId="3616315D">
            <wp:extent cx="5212080" cy="3246168"/>
            <wp:effectExtent l="0" t="0" r="0" b="0"/>
            <wp:docPr id="3" name="Picture 3" descr="Heatmap of audited precipitation-index changes by scenario and future assessment period."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3_change_heatmap.png"/>
                    <pic:cNvPicPr/>
                  </pic:nvPicPr>
                  <pic:blipFill>
                    <a:blip r:embed="rId10"/>
                    <a:stretch>
                      <a:fillRect/>
                    </a:stretch>
                  </pic:blipFill>
                  <pic:spPr>
                    <a:xfrm>
                      <a:off x="0" y="0"/>
                      <a:ext cx="5212080" cy="3246168"/>
                    </a:xfrm>
                    <a:prstGeom prst="rect">
                      <a:avLst/>
                    </a:prstGeom>
                  </pic:spPr>
                </pic:pic>
              </a:graphicData>
            </a:graphic>
          </wp:inline>
        </w:drawing>
      </w:r>
    </w:p>
    <w:p w14:paraId="2F9BBF3A" w14:textId="77777777" w:rsidR="00C94FE6" w:rsidRDefault="00000000">
      <w:pPr>
        <w:keepLines/>
        <w:spacing w:line="240" w:lineRule="auto"/>
        <w:jc w:val="both"/>
      </w:pPr>
      <w:r>
        <w:rPr>
          <w:b/>
          <w:color w:val="000000"/>
        </w:rPr>
        <w:t xml:space="preserve">Figure 3. </w:t>
      </w:r>
      <w:r>
        <w:rPr>
          <w:color w:val="000000"/>
        </w:rPr>
        <w:t>Audited multimodel regional median relative changes from the model-consistent baseline. Values are percentages; an asterisk indicates that at least six of seven models agreed on direction. R50mm percentages are shown only for completeness and are denominator-sensitive.</w:t>
      </w:r>
    </w:p>
    <w:p w14:paraId="0503ED50" w14:textId="77777777" w:rsidR="00C94FE6" w:rsidRDefault="00000000">
      <w:pPr>
        <w:keepNext/>
        <w:keepLines/>
        <w:spacing w:line="240" w:lineRule="auto"/>
        <w:jc w:val="center"/>
      </w:pPr>
      <w:r>
        <w:rPr>
          <w:noProof/>
        </w:rPr>
        <w:drawing>
          <wp:inline distT="0" distB="0" distL="0" distR="0" wp14:anchorId="0C708D56" wp14:editId="54EAD9D5">
            <wp:extent cx="5212080" cy="3764900"/>
            <wp:effectExtent l="0" t="0" r="0" b="0"/>
            <wp:docPr id="4" name="Picture 4" descr="Six panels showing selected future precipitation-index changes and multimodel spread."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4_selected_profiles.png"/>
                    <pic:cNvPicPr/>
                  </pic:nvPicPr>
                  <pic:blipFill>
                    <a:blip r:embed="rId11"/>
                    <a:stretch>
                      <a:fillRect/>
                    </a:stretch>
                  </pic:blipFill>
                  <pic:spPr>
                    <a:xfrm>
                      <a:off x="0" y="0"/>
                      <a:ext cx="5212080" cy="3764900"/>
                    </a:xfrm>
                    <a:prstGeom prst="rect">
                      <a:avLst/>
                    </a:prstGeom>
                  </pic:spPr>
                </pic:pic>
              </a:graphicData>
            </a:graphic>
          </wp:inline>
        </w:drawing>
      </w:r>
    </w:p>
    <w:p w14:paraId="02B3D65B" w14:textId="77777777" w:rsidR="00C94FE6" w:rsidRDefault="00000000">
      <w:pPr>
        <w:keepLines/>
        <w:spacing w:line="240" w:lineRule="auto"/>
        <w:jc w:val="both"/>
      </w:pPr>
      <w:r>
        <w:rPr>
          <w:b/>
          <w:color w:val="000000"/>
        </w:rPr>
        <w:t xml:space="preserve">Figure 4. </w:t>
      </w:r>
      <w:r>
        <w:rPr>
          <w:color w:val="000000"/>
        </w:rPr>
        <w:t>Selected model-consistent projection profiles. Points show seven-model medians and bands show interquartile ranges. Filled markers indicate agreement by at least six of seven models; open markers are ambiguous. R50mm is reported in absolute days per year.</w:t>
      </w:r>
    </w:p>
    <w:p w14:paraId="48330EB1" w14:textId="77777777" w:rsidR="00C94FE6" w:rsidRDefault="00000000">
      <w:pPr>
        <w:keepNext/>
        <w:spacing w:line="240" w:lineRule="auto"/>
      </w:pPr>
      <w:r>
        <w:rPr>
          <w:b/>
          <w:color w:val="000000"/>
        </w:rPr>
        <w:t xml:space="preserve">Table 3. </w:t>
      </w:r>
      <w:r>
        <w:rPr>
          <w:color w:val="000000"/>
        </w:rPr>
        <w:t>Selected robust multimodel regional changes from the model-consistent baseline.</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440"/>
        <w:gridCol w:w="1512"/>
        <w:gridCol w:w="1224"/>
        <w:gridCol w:w="3384"/>
        <w:gridCol w:w="1008"/>
      </w:tblGrid>
      <w:tr w:rsidR="00C94FE6" w14:paraId="033C2ADB" w14:textId="77777777">
        <w:trPr>
          <w:tblHeader/>
          <w:jc w:val="center"/>
        </w:trPr>
        <w:tc>
          <w:tcPr>
            <w:tcW w:w="1440" w:type="dxa"/>
            <w:tcBorders>
              <w:bottom w:val="single" w:sz="6" w:space="0" w:color="000000"/>
            </w:tcBorders>
            <w:tcMar>
              <w:top w:w="35" w:type="dxa"/>
              <w:left w:w="55" w:type="dxa"/>
              <w:bottom w:w="35" w:type="dxa"/>
              <w:right w:w="55" w:type="dxa"/>
            </w:tcMar>
            <w:vAlign w:val="center"/>
          </w:tcPr>
          <w:p w14:paraId="69C76787" w14:textId="77777777" w:rsidR="00C94FE6" w:rsidRDefault="00000000">
            <w:pPr>
              <w:keepLines/>
              <w:spacing w:line="240" w:lineRule="auto"/>
              <w:jc w:val="center"/>
            </w:pPr>
            <w:r>
              <w:rPr>
                <w:b/>
                <w:color w:val="000000"/>
              </w:rPr>
              <w:t>Scenario</w:t>
            </w:r>
          </w:p>
        </w:tc>
        <w:tc>
          <w:tcPr>
            <w:tcW w:w="1512" w:type="dxa"/>
            <w:tcBorders>
              <w:bottom w:val="single" w:sz="6" w:space="0" w:color="000000"/>
            </w:tcBorders>
            <w:tcMar>
              <w:top w:w="35" w:type="dxa"/>
              <w:left w:w="55" w:type="dxa"/>
              <w:bottom w:w="35" w:type="dxa"/>
              <w:right w:w="55" w:type="dxa"/>
            </w:tcMar>
            <w:vAlign w:val="center"/>
          </w:tcPr>
          <w:p w14:paraId="21DBA4F9" w14:textId="77777777" w:rsidR="00C94FE6" w:rsidRDefault="00000000">
            <w:pPr>
              <w:keepLines/>
              <w:spacing w:line="240" w:lineRule="auto"/>
              <w:jc w:val="center"/>
            </w:pPr>
            <w:r>
              <w:rPr>
                <w:b/>
                <w:color w:val="000000"/>
              </w:rPr>
              <w:t>Period</w:t>
            </w:r>
          </w:p>
        </w:tc>
        <w:tc>
          <w:tcPr>
            <w:tcW w:w="1224" w:type="dxa"/>
            <w:tcBorders>
              <w:bottom w:val="single" w:sz="6" w:space="0" w:color="000000"/>
            </w:tcBorders>
            <w:tcMar>
              <w:top w:w="35" w:type="dxa"/>
              <w:left w:w="55" w:type="dxa"/>
              <w:bottom w:w="35" w:type="dxa"/>
              <w:right w:w="55" w:type="dxa"/>
            </w:tcMar>
            <w:vAlign w:val="center"/>
          </w:tcPr>
          <w:p w14:paraId="0254B2C3" w14:textId="77777777" w:rsidR="00C94FE6" w:rsidRDefault="00000000">
            <w:pPr>
              <w:keepLines/>
              <w:spacing w:line="240" w:lineRule="auto"/>
              <w:jc w:val="center"/>
            </w:pPr>
            <w:r>
              <w:rPr>
                <w:b/>
                <w:color w:val="000000"/>
              </w:rPr>
              <w:t>Index</w:t>
            </w:r>
          </w:p>
        </w:tc>
        <w:tc>
          <w:tcPr>
            <w:tcW w:w="3384" w:type="dxa"/>
            <w:tcBorders>
              <w:bottom w:val="single" w:sz="6" w:space="0" w:color="000000"/>
            </w:tcBorders>
            <w:tcMar>
              <w:top w:w="35" w:type="dxa"/>
              <w:left w:w="55" w:type="dxa"/>
              <w:bottom w:w="35" w:type="dxa"/>
              <w:right w:w="55" w:type="dxa"/>
            </w:tcMar>
            <w:vAlign w:val="center"/>
          </w:tcPr>
          <w:p w14:paraId="065A8F34" w14:textId="77777777" w:rsidR="00C94FE6" w:rsidRDefault="00000000">
            <w:pPr>
              <w:keepLines/>
              <w:spacing w:line="240" w:lineRule="auto"/>
              <w:jc w:val="center"/>
            </w:pPr>
            <w:r>
              <w:rPr>
                <w:b/>
                <w:color w:val="000000"/>
              </w:rPr>
              <w:t>Median change (IQR)</w:t>
            </w:r>
          </w:p>
        </w:tc>
        <w:tc>
          <w:tcPr>
            <w:tcW w:w="1008" w:type="dxa"/>
            <w:tcBorders>
              <w:bottom w:val="single" w:sz="6" w:space="0" w:color="000000"/>
            </w:tcBorders>
            <w:tcMar>
              <w:top w:w="35" w:type="dxa"/>
              <w:left w:w="55" w:type="dxa"/>
              <w:bottom w:w="35" w:type="dxa"/>
              <w:right w:w="55" w:type="dxa"/>
            </w:tcMar>
            <w:vAlign w:val="center"/>
          </w:tcPr>
          <w:p w14:paraId="5B345F62" w14:textId="77777777" w:rsidR="00C94FE6" w:rsidRDefault="00000000">
            <w:pPr>
              <w:keepLines/>
              <w:spacing w:line="240" w:lineRule="auto"/>
              <w:jc w:val="center"/>
            </w:pPr>
            <w:r>
              <w:rPr>
                <w:b/>
                <w:color w:val="000000"/>
              </w:rPr>
              <w:t>Models</w:t>
            </w:r>
          </w:p>
        </w:tc>
      </w:tr>
      <w:tr w:rsidR="00C94FE6" w14:paraId="26650B22" w14:textId="77777777">
        <w:trPr>
          <w:jc w:val="center"/>
        </w:trPr>
        <w:tc>
          <w:tcPr>
            <w:tcW w:w="1440" w:type="dxa"/>
            <w:tcMar>
              <w:top w:w="35" w:type="dxa"/>
              <w:left w:w="55" w:type="dxa"/>
              <w:bottom w:w="35" w:type="dxa"/>
              <w:right w:w="55" w:type="dxa"/>
            </w:tcMar>
            <w:vAlign w:val="center"/>
          </w:tcPr>
          <w:p w14:paraId="3644CC35" w14:textId="77777777" w:rsidR="00C94FE6" w:rsidRDefault="00000000">
            <w:pPr>
              <w:keepLines/>
              <w:spacing w:line="240" w:lineRule="auto"/>
            </w:pPr>
            <w:r>
              <w:rPr>
                <w:color w:val="000000"/>
              </w:rPr>
              <w:t>SSP2-4.5</w:t>
            </w:r>
          </w:p>
        </w:tc>
        <w:tc>
          <w:tcPr>
            <w:tcW w:w="1512" w:type="dxa"/>
            <w:tcMar>
              <w:top w:w="35" w:type="dxa"/>
              <w:left w:w="55" w:type="dxa"/>
              <w:bottom w:w="35" w:type="dxa"/>
              <w:right w:w="55" w:type="dxa"/>
            </w:tcMar>
            <w:vAlign w:val="center"/>
          </w:tcPr>
          <w:p w14:paraId="085ACD06" w14:textId="77777777" w:rsidR="00C94FE6" w:rsidRDefault="00000000">
            <w:pPr>
              <w:keepLines/>
              <w:spacing w:line="240" w:lineRule="auto"/>
            </w:pPr>
            <w:r>
              <w:rPr>
                <w:color w:val="000000"/>
              </w:rPr>
              <w:t>2041–2060</w:t>
            </w:r>
          </w:p>
        </w:tc>
        <w:tc>
          <w:tcPr>
            <w:tcW w:w="1224" w:type="dxa"/>
            <w:tcMar>
              <w:top w:w="35" w:type="dxa"/>
              <w:left w:w="55" w:type="dxa"/>
              <w:bottom w:w="35" w:type="dxa"/>
              <w:right w:w="55" w:type="dxa"/>
            </w:tcMar>
            <w:vAlign w:val="center"/>
          </w:tcPr>
          <w:p w14:paraId="1E781967" w14:textId="77777777" w:rsidR="00C94FE6" w:rsidRDefault="00000000">
            <w:pPr>
              <w:keepLines/>
              <w:spacing w:line="240" w:lineRule="auto"/>
              <w:jc w:val="center"/>
            </w:pPr>
            <w:r>
              <w:rPr>
                <w:color w:val="000000"/>
              </w:rPr>
              <w:t>Rx5day</w:t>
            </w:r>
          </w:p>
        </w:tc>
        <w:tc>
          <w:tcPr>
            <w:tcW w:w="3384" w:type="dxa"/>
            <w:tcMar>
              <w:top w:w="35" w:type="dxa"/>
              <w:left w:w="55" w:type="dxa"/>
              <w:bottom w:w="35" w:type="dxa"/>
              <w:right w:w="55" w:type="dxa"/>
            </w:tcMar>
            <w:vAlign w:val="center"/>
          </w:tcPr>
          <w:p w14:paraId="00733D11" w14:textId="77777777" w:rsidR="00C94FE6" w:rsidRDefault="00000000">
            <w:pPr>
              <w:keepLines/>
              <w:spacing w:line="240" w:lineRule="auto"/>
              <w:jc w:val="center"/>
            </w:pPr>
            <w:r>
              <w:rPr>
                <w:color w:val="000000"/>
              </w:rPr>
              <w:t>+12.5 (+7.5 to +27.4)%</w:t>
            </w:r>
          </w:p>
        </w:tc>
        <w:tc>
          <w:tcPr>
            <w:tcW w:w="1008" w:type="dxa"/>
            <w:tcMar>
              <w:top w:w="35" w:type="dxa"/>
              <w:left w:w="55" w:type="dxa"/>
              <w:bottom w:w="35" w:type="dxa"/>
              <w:right w:w="55" w:type="dxa"/>
            </w:tcMar>
            <w:vAlign w:val="center"/>
          </w:tcPr>
          <w:p w14:paraId="5FFA74F0" w14:textId="77777777" w:rsidR="00C94FE6" w:rsidRDefault="00000000">
            <w:pPr>
              <w:keepLines/>
              <w:spacing w:line="240" w:lineRule="auto"/>
              <w:jc w:val="center"/>
            </w:pPr>
            <w:r>
              <w:rPr>
                <w:color w:val="000000"/>
              </w:rPr>
              <w:t>6/7</w:t>
            </w:r>
          </w:p>
        </w:tc>
      </w:tr>
      <w:tr w:rsidR="00C94FE6" w14:paraId="6D71F01F" w14:textId="77777777">
        <w:trPr>
          <w:jc w:val="center"/>
        </w:trPr>
        <w:tc>
          <w:tcPr>
            <w:tcW w:w="1440" w:type="dxa"/>
            <w:tcMar>
              <w:top w:w="35" w:type="dxa"/>
              <w:left w:w="55" w:type="dxa"/>
              <w:bottom w:w="35" w:type="dxa"/>
              <w:right w:w="55" w:type="dxa"/>
            </w:tcMar>
            <w:vAlign w:val="center"/>
          </w:tcPr>
          <w:p w14:paraId="0D68E488" w14:textId="77777777" w:rsidR="00C94FE6" w:rsidRDefault="00000000">
            <w:pPr>
              <w:keepLines/>
              <w:spacing w:line="240" w:lineRule="auto"/>
            </w:pPr>
            <w:r>
              <w:rPr>
                <w:color w:val="000000"/>
              </w:rPr>
              <w:t>SSP2-4.5</w:t>
            </w:r>
          </w:p>
        </w:tc>
        <w:tc>
          <w:tcPr>
            <w:tcW w:w="1512" w:type="dxa"/>
            <w:tcMar>
              <w:top w:w="35" w:type="dxa"/>
              <w:left w:w="55" w:type="dxa"/>
              <w:bottom w:w="35" w:type="dxa"/>
              <w:right w:w="55" w:type="dxa"/>
            </w:tcMar>
            <w:vAlign w:val="center"/>
          </w:tcPr>
          <w:p w14:paraId="0C13EC55" w14:textId="77777777" w:rsidR="00C94FE6" w:rsidRDefault="00000000">
            <w:pPr>
              <w:keepLines/>
              <w:spacing w:line="240" w:lineRule="auto"/>
            </w:pPr>
            <w:r>
              <w:rPr>
                <w:color w:val="000000"/>
              </w:rPr>
              <w:t>2041–2060</w:t>
            </w:r>
          </w:p>
        </w:tc>
        <w:tc>
          <w:tcPr>
            <w:tcW w:w="1224" w:type="dxa"/>
            <w:tcMar>
              <w:top w:w="35" w:type="dxa"/>
              <w:left w:w="55" w:type="dxa"/>
              <w:bottom w:w="35" w:type="dxa"/>
              <w:right w:w="55" w:type="dxa"/>
            </w:tcMar>
            <w:vAlign w:val="center"/>
          </w:tcPr>
          <w:p w14:paraId="735E31D2" w14:textId="77777777" w:rsidR="00C94FE6" w:rsidRDefault="00000000">
            <w:pPr>
              <w:keepLines/>
              <w:spacing w:line="240" w:lineRule="auto"/>
              <w:jc w:val="center"/>
            </w:pPr>
            <w:r>
              <w:rPr>
                <w:color w:val="000000"/>
              </w:rPr>
              <w:t>R99p</w:t>
            </w:r>
          </w:p>
        </w:tc>
        <w:tc>
          <w:tcPr>
            <w:tcW w:w="3384" w:type="dxa"/>
            <w:tcMar>
              <w:top w:w="35" w:type="dxa"/>
              <w:left w:w="55" w:type="dxa"/>
              <w:bottom w:w="35" w:type="dxa"/>
              <w:right w:w="55" w:type="dxa"/>
            </w:tcMar>
            <w:vAlign w:val="center"/>
          </w:tcPr>
          <w:p w14:paraId="7FAA4749" w14:textId="77777777" w:rsidR="00C94FE6" w:rsidRDefault="00000000">
            <w:pPr>
              <w:keepLines/>
              <w:spacing w:line="240" w:lineRule="auto"/>
              <w:jc w:val="center"/>
            </w:pPr>
            <w:r>
              <w:rPr>
                <w:color w:val="000000"/>
              </w:rPr>
              <w:t>+26.5 (+8.4 to +55.4)%</w:t>
            </w:r>
          </w:p>
        </w:tc>
        <w:tc>
          <w:tcPr>
            <w:tcW w:w="1008" w:type="dxa"/>
            <w:tcMar>
              <w:top w:w="35" w:type="dxa"/>
              <w:left w:w="55" w:type="dxa"/>
              <w:bottom w:w="35" w:type="dxa"/>
              <w:right w:w="55" w:type="dxa"/>
            </w:tcMar>
            <w:vAlign w:val="center"/>
          </w:tcPr>
          <w:p w14:paraId="427DC16B" w14:textId="77777777" w:rsidR="00C94FE6" w:rsidRDefault="00000000">
            <w:pPr>
              <w:keepLines/>
              <w:spacing w:line="240" w:lineRule="auto"/>
              <w:jc w:val="center"/>
            </w:pPr>
            <w:r>
              <w:rPr>
                <w:color w:val="000000"/>
              </w:rPr>
              <w:t>6/7</w:t>
            </w:r>
          </w:p>
        </w:tc>
      </w:tr>
      <w:tr w:rsidR="00C94FE6" w14:paraId="69AC6FA1" w14:textId="77777777">
        <w:trPr>
          <w:jc w:val="center"/>
        </w:trPr>
        <w:tc>
          <w:tcPr>
            <w:tcW w:w="1440" w:type="dxa"/>
            <w:tcMar>
              <w:top w:w="35" w:type="dxa"/>
              <w:left w:w="55" w:type="dxa"/>
              <w:bottom w:w="35" w:type="dxa"/>
              <w:right w:w="55" w:type="dxa"/>
            </w:tcMar>
            <w:vAlign w:val="center"/>
          </w:tcPr>
          <w:p w14:paraId="4715D5B0" w14:textId="77777777" w:rsidR="00C94FE6" w:rsidRDefault="00000000">
            <w:pPr>
              <w:keepLines/>
              <w:spacing w:line="240" w:lineRule="auto"/>
            </w:pPr>
            <w:r>
              <w:rPr>
                <w:color w:val="000000"/>
              </w:rPr>
              <w:t>SSP2-4.5</w:t>
            </w:r>
          </w:p>
        </w:tc>
        <w:tc>
          <w:tcPr>
            <w:tcW w:w="1512" w:type="dxa"/>
            <w:tcMar>
              <w:top w:w="35" w:type="dxa"/>
              <w:left w:w="55" w:type="dxa"/>
              <w:bottom w:w="35" w:type="dxa"/>
              <w:right w:w="55" w:type="dxa"/>
            </w:tcMar>
            <w:vAlign w:val="center"/>
          </w:tcPr>
          <w:p w14:paraId="2BB3A7AA" w14:textId="77777777" w:rsidR="00C94FE6" w:rsidRDefault="00000000">
            <w:pPr>
              <w:keepLines/>
              <w:spacing w:line="240" w:lineRule="auto"/>
            </w:pPr>
            <w:r>
              <w:rPr>
                <w:color w:val="000000"/>
              </w:rPr>
              <w:t>2041–2060</w:t>
            </w:r>
          </w:p>
        </w:tc>
        <w:tc>
          <w:tcPr>
            <w:tcW w:w="1224" w:type="dxa"/>
            <w:tcMar>
              <w:top w:w="35" w:type="dxa"/>
              <w:left w:w="55" w:type="dxa"/>
              <w:bottom w:w="35" w:type="dxa"/>
              <w:right w:w="55" w:type="dxa"/>
            </w:tcMar>
            <w:vAlign w:val="center"/>
          </w:tcPr>
          <w:p w14:paraId="2633FFB9" w14:textId="77777777" w:rsidR="00C94FE6" w:rsidRDefault="00000000">
            <w:pPr>
              <w:keepLines/>
              <w:spacing w:line="240" w:lineRule="auto"/>
              <w:jc w:val="center"/>
            </w:pPr>
            <w:r>
              <w:rPr>
                <w:color w:val="000000"/>
              </w:rPr>
              <w:t>R50mm</w:t>
            </w:r>
          </w:p>
        </w:tc>
        <w:tc>
          <w:tcPr>
            <w:tcW w:w="3384" w:type="dxa"/>
            <w:tcMar>
              <w:top w:w="35" w:type="dxa"/>
              <w:left w:w="55" w:type="dxa"/>
              <w:bottom w:w="35" w:type="dxa"/>
              <w:right w:w="55" w:type="dxa"/>
            </w:tcMar>
            <w:vAlign w:val="center"/>
          </w:tcPr>
          <w:p w14:paraId="33E62351" w14:textId="77777777" w:rsidR="00C94FE6" w:rsidRDefault="00000000">
            <w:pPr>
              <w:keepLines/>
              <w:spacing w:line="240" w:lineRule="auto"/>
              <w:jc w:val="center"/>
            </w:pPr>
            <w:r>
              <w:rPr>
                <w:color w:val="000000"/>
              </w:rPr>
              <w:t>+0.65 (+0.18 to +1.06) d yr⁻¹</w:t>
            </w:r>
          </w:p>
        </w:tc>
        <w:tc>
          <w:tcPr>
            <w:tcW w:w="1008" w:type="dxa"/>
            <w:tcMar>
              <w:top w:w="35" w:type="dxa"/>
              <w:left w:w="55" w:type="dxa"/>
              <w:bottom w:w="35" w:type="dxa"/>
              <w:right w:w="55" w:type="dxa"/>
            </w:tcMar>
            <w:vAlign w:val="center"/>
          </w:tcPr>
          <w:p w14:paraId="1EE59C5D" w14:textId="77777777" w:rsidR="00C94FE6" w:rsidRDefault="00000000">
            <w:pPr>
              <w:keepLines/>
              <w:spacing w:line="240" w:lineRule="auto"/>
              <w:jc w:val="center"/>
            </w:pPr>
            <w:r>
              <w:rPr>
                <w:color w:val="000000"/>
              </w:rPr>
              <w:t>6/7</w:t>
            </w:r>
          </w:p>
        </w:tc>
      </w:tr>
      <w:tr w:rsidR="00C94FE6" w14:paraId="42E07884" w14:textId="77777777">
        <w:trPr>
          <w:jc w:val="center"/>
        </w:trPr>
        <w:tc>
          <w:tcPr>
            <w:tcW w:w="1440" w:type="dxa"/>
            <w:tcMar>
              <w:top w:w="35" w:type="dxa"/>
              <w:left w:w="55" w:type="dxa"/>
              <w:bottom w:w="35" w:type="dxa"/>
              <w:right w:w="55" w:type="dxa"/>
            </w:tcMar>
            <w:vAlign w:val="center"/>
          </w:tcPr>
          <w:p w14:paraId="17435725" w14:textId="77777777" w:rsidR="00C94FE6" w:rsidRDefault="00000000">
            <w:pPr>
              <w:keepLines/>
              <w:spacing w:line="240" w:lineRule="auto"/>
            </w:pPr>
            <w:r>
              <w:rPr>
                <w:color w:val="000000"/>
              </w:rPr>
              <w:lastRenderedPageBreak/>
              <w:t>SSP5-8.5</w:t>
            </w:r>
          </w:p>
        </w:tc>
        <w:tc>
          <w:tcPr>
            <w:tcW w:w="1512" w:type="dxa"/>
            <w:tcMar>
              <w:top w:w="35" w:type="dxa"/>
              <w:left w:w="55" w:type="dxa"/>
              <w:bottom w:w="35" w:type="dxa"/>
              <w:right w:w="55" w:type="dxa"/>
            </w:tcMar>
            <w:vAlign w:val="center"/>
          </w:tcPr>
          <w:p w14:paraId="0D72F040" w14:textId="77777777" w:rsidR="00C94FE6" w:rsidRDefault="00000000">
            <w:pPr>
              <w:keepLines/>
              <w:spacing w:line="240" w:lineRule="auto"/>
            </w:pPr>
            <w:r>
              <w:rPr>
                <w:color w:val="000000"/>
              </w:rPr>
              <w:t>2041–2060</w:t>
            </w:r>
          </w:p>
        </w:tc>
        <w:tc>
          <w:tcPr>
            <w:tcW w:w="1224" w:type="dxa"/>
            <w:tcMar>
              <w:top w:w="35" w:type="dxa"/>
              <w:left w:w="55" w:type="dxa"/>
              <w:bottom w:w="35" w:type="dxa"/>
              <w:right w:w="55" w:type="dxa"/>
            </w:tcMar>
            <w:vAlign w:val="center"/>
          </w:tcPr>
          <w:p w14:paraId="0D777782" w14:textId="77777777" w:rsidR="00C94FE6" w:rsidRDefault="00000000">
            <w:pPr>
              <w:keepLines/>
              <w:spacing w:line="240" w:lineRule="auto"/>
              <w:jc w:val="center"/>
            </w:pPr>
            <w:r>
              <w:rPr>
                <w:color w:val="000000"/>
              </w:rPr>
              <w:t>PRCPTOT</w:t>
            </w:r>
          </w:p>
        </w:tc>
        <w:tc>
          <w:tcPr>
            <w:tcW w:w="3384" w:type="dxa"/>
            <w:tcMar>
              <w:top w:w="35" w:type="dxa"/>
              <w:left w:w="55" w:type="dxa"/>
              <w:bottom w:w="35" w:type="dxa"/>
              <w:right w:w="55" w:type="dxa"/>
            </w:tcMar>
            <w:vAlign w:val="center"/>
          </w:tcPr>
          <w:p w14:paraId="3B3068CE" w14:textId="77777777" w:rsidR="00C94FE6" w:rsidRDefault="00000000">
            <w:pPr>
              <w:keepLines/>
              <w:spacing w:line="240" w:lineRule="auto"/>
              <w:jc w:val="center"/>
            </w:pPr>
            <w:r>
              <w:rPr>
                <w:color w:val="000000"/>
              </w:rPr>
              <w:t>-1.9 (-11.6 to -0.8)%</w:t>
            </w:r>
          </w:p>
        </w:tc>
        <w:tc>
          <w:tcPr>
            <w:tcW w:w="1008" w:type="dxa"/>
            <w:tcMar>
              <w:top w:w="35" w:type="dxa"/>
              <w:left w:w="55" w:type="dxa"/>
              <w:bottom w:w="35" w:type="dxa"/>
              <w:right w:w="55" w:type="dxa"/>
            </w:tcMar>
            <w:vAlign w:val="center"/>
          </w:tcPr>
          <w:p w14:paraId="4B31719D" w14:textId="77777777" w:rsidR="00C94FE6" w:rsidRDefault="00000000">
            <w:pPr>
              <w:keepLines/>
              <w:spacing w:line="240" w:lineRule="auto"/>
              <w:jc w:val="center"/>
            </w:pPr>
            <w:r>
              <w:rPr>
                <w:color w:val="000000"/>
              </w:rPr>
              <w:t>6/7</w:t>
            </w:r>
          </w:p>
        </w:tc>
      </w:tr>
      <w:tr w:rsidR="00C94FE6" w14:paraId="67E6590D" w14:textId="77777777">
        <w:trPr>
          <w:jc w:val="center"/>
        </w:trPr>
        <w:tc>
          <w:tcPr>
            <w:tcW w:w="1440" w:type="dxa"/>
            <w:tcMar>
              <w:top w:w="35" w:type="dxa"/>
              <w:left w:w="55" w:type="dxa"/>
              <w:bottom w:w="35" w:type="dxa"/>
              <w:right w:w="55" w:type="dxa"/>
            </w:tcMar>
            <w:vAlign w:val="center"/>
          </w:tcPr>
          <w:p w14:paraId="387C29AF" w14:textId="77777777" w:rsidR="00C94FE6" w:rsidRDefault="00000000">
            <w:pPr>
              <w:keepLines/>
              <w:spacing w:line="240" w:lineRule="auto"/>
            </w:pPr>
            <w:r>
              <w:rPr>
                <w:color w:val="000000"/>
              </w:rPr>
              <w:t>SSP5-8.5</w:t>
            </w:r>
          </w:p>
        </w:tc>
        <w:tc>
          <w:tcPr>
            <w:tcW w:w="1512" w:type="dxa"/>
            <w:tcMar>
              <w:top w:w="35" w:type="dxa"/>
              <w:left w:w="55" w:type="dxa"/>
              <w:bottom w:w="35" w:type="dxa"/>
              <w:right w:w="55" w:type="dxa"/>
            </w:tcMar>
            <w:vAlign w:val="center"/>
          </w:tcPr>
          <w:p w14:paraId="0E57EE3A" w14:textId="77777777" w:rsidR="00C94FE6" w:rsidRDefault="00000000">
            <w:pPr>
              <w:keepLines/>
              <w:spacing w:line="240" w:lineRule="auto"/>
            </w:pPr>
            <w:r>
              <w:rPr>
                <w:color w:val="000000"/>
              </w:rPr>
              <w:t>2041–2060</w:t>
            </w:r>
          </w:p>
        </w:tc>
        <w:tc>
          <w:tcPr>
            <w:tcW w:w="1224" w:type="dxa"/>
            <w:tcMar>
              <w:top w:w="35" w:type="dxa"/>
              <w:left w:w="55" w:type="dxa"/>
              <w:bottom w:w="35" w:type="dxa"/>
              <w:right w:w="55" w:type="dxa"/>
            </w:tcMar>
            <w:vAlign w:val="center"/>
          </w:tcPr>
          <w:p w14:paraId="5E5ADDC4" w14:textId="77777777" w:rsidR="00C94FE6" w:rsidRDefault="00000000">
            <w:pPr>
              <w:keepLines/>
              <w:spacing w:line="240" w:lineRule="auto"/>
              <w:jc w:val="center"/>
            </w:pPr>
            <w:r>
              <w:rPr>
                <w:color w:val="000000"/>
              </w:rPr>
              <w:t>SDII</w:t>
            </w:r>
          </w:p>
        </w:tc>
        <w:tc>
          <w:tcPr>
            <w:tcW w:w="3384" w:type="dxa"/>
            <w:tcMar>
              <w:top w:w="35" w:type="dxa"/>
              <w:left w:w="55" w:type="dxa"/>
              <w:bottom w:w="35" w:type="dxa"/>
              <w:right w:w="55" w:type="dxa"/>
            </w:tcMar>
            <w:vAlign w:val="center"/>
          </w:tcPr>
          <w:p w14:paraId="5EFA98F8" w14:textId="77777777" w:rsidR="00C94FE6" w:rsidRDefault="00000000">
            <w:pPr>
              <w:keepLines/>
              <w:spacing w:line="240" w:lineRule="auto"/>
              <w:jc w:val="center"/>
            </w:pPr>
            <w:r>
              <w:rPr>
                <w:color w:val="000000"/>
              </w:rPr>
              <w:t>-5.5 (-12.6 to -3.7)%</w:t>
            </w:r>
          </w:p>
        </w:tc>
        <w:tc>
          <w:tcPr>
            <w:tcW w:w="1008" w:type="dxa"/>
            <w:tcMar>
              <w:top w:w="35" w:type="dxa"/>
              <w:left w:w="55" w:type="dxa"/>
              <w:bottom w:w="35" w:type="dxa"/>
              <w:right w:w="55" w:type="dxa"/>
            </w:tcMar>
            <w:vAlign w:val="center"/>
          </w:tcPr>
          <w:p w14:paraId="4ECB4A18" w14:textId="77777777" w:rsidR="00C94FE6" w:rsidRDefault="00000000">
            <w:pPr>
              <w:keepLines/>
              <w:spacing w:line="240" w:lineRule="auto"/>
              <w:jc w:val="center"/>
            </w:pPr>
            <w:r>
              <w:rPr>
                <w:color w:val="000000"/>
              </w:rPr>
              <w:t>6/7</w:t>
            </w:r>
          </w:p>
        </w:tc>
      </w:tr>
      <w:tr w:rsidR="00C94FE6" w14:paraId="3130636D" w14:textId="77777777">
        <w:trPr>
          <w:jc w:val="center"/>
        </w:trPr>
        <w:tc>
          <w:tcPr>
            <w:tcW w:w="1440" w:type="dxa"/>
            <w:tcMar>
              <w:top w:w="35" w:type="dxa"/>
              <w:left w:w="55" w:type="dxa"/>
              <w:bottom w:w="35" w:type="dxa"/>
              <w:right w:w="55" w:type="dxa"/>
            </w:tcMar>
            <w:vAlign w:val="center"/>
          </w:tcPr>
          <w:p w14:paraId="0AF33BDD" w14:textId="77777777" w:rsidR="00C94FE6" w:rsidRDefault="00000000">
            <w:pPr>
              <w:keepLines/>
              <w:spacing w:line="240" w:lineRule="auto"/>
            </w:pPr>
            <w:r>
              <w:rPr>
                <w:color w:val="000000"/>
              </w:rPr>
              <w:t>SSP5-8.5</w:t>
            </w:r>
          </w:p>
        </w:tc>
        <w:tc>
          <w:tcPr>
            <w:tcW w:w="1512" w:type="dxa"/>
            <w:tcMar>
              <w:top w:w="35" w:type="dxa"/>
              <w:left w:w="55" w:type="dxa"/>
              <w:bottom w:w="35" w:type="dxa"/>
              <w:right w:w="55" w:type="dxa"/>
            </w:tcMar>
            <w:vAlign w:val="center"/>
          </w:tcPr>
          <w:p w14:paraId="304C5598" w14:textId="77777777" w:rsidR="00C94FE6" w:rsidRDefault="00000000">
            <w:pPr>
              <w:keepLines/>
              <w:spacing w:line="240" w:lineRule="auto"/>
            </w:pPr>
            <w:r>
              <w:rPr>
                <w:color w:val="000000"/>
              </w:rPr>
              <w:t>2081–2100</w:t>
            </w:r>
          </w:p>
        </w:tc>
        <w:tc>
          <w:tcPr>
            <w:tcW w:w="1224" w:type="dxa"/>
            <w:tcMar>
              <w:top w:w="35" w:type="dxa"/>
              <w:left w:w="55" w:type="dxa"/>
              <w:bottom w:w="35" w:type="dxa"/>
              <w:right w:w="55" w:type="dxa"/>
            </w:tcMar>
            <w:vAlign w:val="center"/>
          </w:tcPr>
          <w:p w14:paraId="7B7C668E" w14:textId="77777777" w:rsidR="00C94FE6" w:rsidRDefault="00000000">
            <w:pPr>
              <w:keepLines/>
              <w:spacing w:line="240" w:lineRule="auto"/>
              <w:jc w:val="center"/>
            </w:pPr>
            <w:r>
              <w:rPr>
                <w:color w:val="000000"/>
              </w:rPr>
              <w:t>PRCPTOT</w:t>
            </w:r>
          </w:p>
        </w:tc>
        <w:tc>
          <w:tcPr>
            <w:tcW w:w="3384" w:type="dxa"/>
            <w:tcMar>
              <w:top w:w="35" w:type="dxa"/>
              <w:left w:w="55" w:type="dxa"/>
              <w:bottom w:w="35" w:type="dxa"/>
              <w:right w:w="55" w:type="dxa"/>
            </w:tcMar>
            <w:vAlign w:val="center"/>
          </w:tcPr>
          <w:p w14:paraId="6E775A95" w14:textId="77777777" w:rsidR="00C94FE6" w:rsidRDefault="00000000">
            <w:pPr>
              <w:keepLines/>
              <w:spacing w:line="240" w:lineRule="auto"/>
              <w:jc w:val="center"/>
            </w:pPr>
            <w:r>
              <w:rPr>
                <w:color w:val="000000"/>
              </w:rPr>
              <w:t>-46.7 (-52.8 to -17.3)%</w:t>
            </w:r>
          </w:p>
        </w:tc>
        <w:tc>
          <w:tcPr>
            <w:tcW w:w="1008" w:type="dxa"/>
            <w:tcMar>
              <w:top w:w="35" w:type="dxa"/>
              <w:left w:w="55" w:type="dxa"/>
              <w:bottom w:w="35" w:type="dxa"/>
              <w:right w:w="55" w:type="dxa"/>
            </w:tcMar>
            <w:vAlign w:val="center"/>
          </w:tcPr>
          <w:p w14:paraId="73DAEFDA" w14:textId="77777777" w:rsidR="00C94FE6" w:rsidRDefault="00000000">
            <w:pPr>
              <w:keepLines/>
              <w:spacing w:line="240" w:lineRule="auto"/>
              <w:jc w:val="center"/>
            </w:pPr>
            <w:r>
              <w:rPr>
                <w:color w:val="000000"/>
              </w:rPr>
              <w:t>7/7</w:t>
            </w:r>
          </w:p>
        </w:tc>
      </w:tr>
      <w:tr w:rsidR="00C94FE6" w14:paraId="74C19544" w14:textId="77777777">
        <w:trPr>
          <w:jc w:val="center"/>
        </w:trPr>
        <w:tc>
          <w:tcPr>
            <w:tcW w:w="1440" w:type="dxa"/>
            <w:tcMar>
              <w:top w:w="35" w:type="dxa"/>
              <w:left w:w="55" w:type="dxa"/>
              <w:bottom w:w="35" w:type="dxa"/>
              <w:right w:w="55" w:type="dxa"/>
            </w:tcMar>
            <w:vAlign w:val="center"/>
          </w:tcPr>
          <w:p w14:paraId="28630F5C" w14:textId="77777777" w:rsidR="00C94FE6" w:rsidRDefault="00000000">
            <w:pPr>
              <w:keepLines/>
              <w:spacing w:line="240" w:lineRule="auto"/>
            </w:pPr>
            <w:r>
              <w:rPr>
                <w:color w:val="000000"/>
              </w:rPr>
              <w:t>SSP5-8.5</w:t>
            </w:r>
          </w:p>
        </w:tc>
        <w:tc>
          <w:tcPr>
            <w:tcW w:w="1512" w:type="dxa"/>
            <w:tcMar>
              <w:top w:w="35" w:type="dxa"/>
              <w:left w:w="55" w:type="dxa"/>
              <w:bottom w:w="35" w:type="dxa"/>
              <w:right w:w="55" w:type="dxa"/>
            </w:tcMar>
            <w:vAlign w:val="center"/>
          </w:tcPr>
          <w:p w14:paraId="7B511030" w14:textId="77777777" w:rsidR="00C94FE6" w:rsidRDefault="00000000">
            <w:pPr>
              <w:keepLines/>
              <w:spacing w:line="240" w:lineRule="auto"/>
            </w:pPr>
            <w:r>
              <w:rPr>
                <w:color w:val="000000"/>
              </w:rPr>
              <w:t>2081–2100</w:t>
            </w:r>
          </w:p>
        </w:tc>
        <w:tc>
          <w:tcPr>
            <w:tcW w:w="1224" w:type="dxa"/>
            <w:tcMar>
              <w:top w:w="35" w:type="dxa"/>
              <w:left w:w="55" w:type="dxa"/>
              <w:bottom w:w="35" w:type="dxa"/>
              <w:right w:w="55" w:type="dxa"/>
            </w:tcMar>
            <w:vAlign w:val="center"/>
          </w:tcPr>
          <w:p w14:paraId="6FE7047C" w14:textId="77777777" w:rsidR="00C94FE6" w:rsidRDefault="00000000">
            <w:pPr>
              <w:keepLines/>
              <w:spacing w:line="240" w:lineRule="auto"/>
              <w:jc w:val="center"/>
            </w:pPr>
            <w:r>
              <w:rPr>
                <w:color w:val="000000"/>
              </w:rPr>
              <w:t>SDII</w:t>
            </w:r>
          </w:p>
        </w:tc>
        <w:tc>
          <w:tcPr>
            <w:tcW w:w="3384" w:type="dxa"/>
            <w:tcMar>
              <w:top w:w="35" w:type="dxa"/>
              <w:left w:w="55" w:type="dxa"/>
              <w:bottom w:w="35" w:type="dxa"/>
              <w:right w:w="55" w:type="dxa"/>
            </w:tcMar>
            <w:vAlign w:val="center"/>
          </w:tcPr>
          <w:p w14:paraId="0CA3FD6A" w14:textId="77777777" w:rsidR="00C94FE6" w:rsidRDefault="00000000">
            <w:pPr>
              <w:keepLines/>
              <w:spacing w:line="240" w:lineRule="auto"/>
              <w:jc w:val="center"/>
            </w:pPr>
            <w:r>
              <w:rPr>
                <w:color w:val="000000"/>
              </w:rPr>
              <w:t>-27.7 (-37.3 to -15.9)%</w:t>
            </w:r>
          </w:p>
        </w:tc>
        <w:tc>
          <w:tcPr>
            <w:tcW w:w="1008" w:type="dxa"/>
            <w:tcMar>
              <w:top w:w="35" w:type="dxa"/>
              <w:left w:w="55" w:type="dxa"/>
              <w:bottom w:w="35" w:type="dxa"/>
              <w:right w:w="55" w:type="dxa"/>
            </w:tcMar>
            <w:vAlign w:val="center"/>
          </w:tcPr>
          <w:p w14:paraId="0A3D826F" w14:textId="77777777" w:rsidR="00C94FE6" w:rsidRDefault="00000000">
            <w:pPr>
              <w:keepLines/>
              <w:spacing w:line="240" w:lineRule="auto"/>
              <w:jc w:val="center"/>
            </w:pPr>
            <w:r>
              <w:rPr>
                <w:color w:val="000000"/>
              </w:rPr>
              <w:t>7/7</w:t>
            </w:r>
          </w:p>
        </w:tc>
      </w:tr>
      <w:tr w:rsidR="00C94FE6" w14:paraId="089D45EA" w14:textId="77777777">
        <w:trPr>
          <w:jc w:val="center"/>
        </w:trPr>
        <w:tc>
          <w:tcPr>
            <w:tcW w:w="1440" w:type="dxa"/>
            <w:tcMar>
              <w:top w:w="35" w:type="dxa"/>
              <w:left w:w="55" w:type="dxa"/>
              <w:bottom w:w="35" w:type="dxa"/>
              <w:right w:w="55" w:type="dxa"/>
            </w:tcMar>
            <w:vAlign w:val="center"/>
          </w:tcPr>
          <w:p w14:paraId="418853B4" w14:textId="77777777" w:rsidR="00C94FE6" w:rsidRDefault="00000000">
            <w:pPr>
              <w:keepLines/>
              <w:spacing w:line="240" w:lineRule="auto"/>
            </w:pPr>
            <w:r>
              <w:rPr>
                <w:color w:val="000000"/>
              </w:rPr>
              <w:t>SSP5-8.5</w:t>
            </w:r>
          </w:p>
        </w:tc>
        <w:tc>
          <w:tcPr>
            <w:tcW w:w="1512" w:type="dxa"/>
            <w:tcMar>
              <w:top w:w="35" w:type="dxa"/>
              <w:left w:w="55" w:type="dxa"/>
              <w:bottom w:w="35" w:type="dxa"/>
              <w:right w:w="55" w:type="dxa"/>
            </w:tcMar>
            <w:vAlign w:val="center"/>
          </w:tcPr>
          <w:p w14:paraId="25FFFFED" w14:textId="77777777" w:rsidR="00C94FE6" w:rsidRDefault="00000000">
            <w:pPr>
              <w:keepLines/>
              <w:spacing w:line="240" w:lineRule="auto"/>
            </w:pPr>
            <w:r>
              <w:rPr>
                <w:color w:val="000000"/>
              </w:rPr>
              <w:t>2081–2100</w:t>
            </w:r>
          </w:p>
        </w:tc>
        <w:tc>
          <w:tcPr>
            <w:tcW w:w="1224" w:type="dxa"/>
            <w:tcMar>
              <w:top w:w="35" w:type="dxa"/>
              <w:left w:w="55" w:type="dxa"/>
              <w:bottom w:w="35" w:type="dxa"/>
              <w:right w:w="55" w:type="dxa"/>
            </w:tcMar>
            <w:vAlign w:val="center"/>
          </w:tcPr>
          <w:p w14:paraId="6909F146" w14:textId="77777777" w:rsidR="00C94FE6" w:rsidRDefault="00000000">
            <w:pPr>
              <w:keepLines/>
              <w:spacing w:line="240" w:lineRule="auto"/>
              <w:jc w:val="center"/>
            </w:pPr>
            <w:r>
              <w:rPr>
                <w:color w:val="000000"/>
              </w:rPr>
              <w:t>Rx5day</w:t>
            </w:r>
          </w:p>
        </w:tc>
        <w:tc>
          <w:tcPr>
            <w:tcW w:w="3384" w:type="dxa"/>
            <w:tcMar>
              <w:top w:w="35" w:type="dxa"/>
              <w:left w:w="55" w:type="dxa"/>
              <w:bottom w:w="35" w:type="dxa"/>
              <w:right w:w="55" w:type="dxa"/>
            </w:tcMar>
            <w:vAlign w:val="center"/>
          </w:tcPr>
          <w:p w14:paraId="3D7A03E4" w14:textId="77777777" w:rsidR="00C94FE6" w:rsidRDefault="00000000">
            <w:pPr>
              <w:keepLines/>
              <w:spacing w:line="240" w:lineRule="auto"/>
              <w:jc w:val="center"/>
            </w:pPr>
            <w:r>
              <w:rPr>
                <w:color w:val="000000"/>
              </w:rPr>
              <w:t>-25.2 (-39.0 to -8.3)%</w:t>
            </w:r>
          </w:p>
        </w:tc>
        <w:tc>
          <w:tcPr>
            <w:tcW w:w="1008" w:type="dxa"/>
            <w:tcMar>
              <w:top w:w="35" w:type="dxa"/>
              <w:left w:w="55" w:type="dxa"/>
              <w:bottom w:w="35" w:type="dxa"/>
              <w:right w:w="55" w:type="dxa"/>
            </w:tcMar>
            <w:vAlign w:val="center"/>
          </w:tcPr>
          <w:p w14:paraId="0CF4062B" w14:textId="77777777" w:rsidR="00C94FE6" w:rsidRDefault="00000000">
            <w:pPr>
              <w:keepLines/>
              <w:spacing w:line="240" w:lineRule="auto"/>
              <w:jc w:val="center"/>
            </w:pPr>
            <w:r>
              <w:rPr>
                <w:color w:val="000000"/>
              </w:rPr>
              <w:t>6/7</w:t>
            </w:r>
          </w:p>
        </w:tc>
      </w:tr>
      <w:tr w:rsidR="00C94FE6" w14:paraId="506D5A80" w14:textId="77777777">
        <w:trPr>
          <w:jc w:val="center"/>
        </w:trPr>
        <w:tc>
          <w:tcPr>
            <w:tcW w:w="1440" w:type="dxa"/>
            <w:tcMar>
              <w:top w:w="35" w:type="dxa"/>
              <w:left w:w="55" w:type="dxa"/>
              <w:bottom w:w="35" w:type="dxa"/>
              <w:right w:w="55" w:type="dxa"/>
            </w:tcMar>
            <w:vAlign w:val="center"/>
          </w:tcPr>
          <w:p w14:paraId="148FCE85" w14:textId="77777777" w:rsidR="00C94FE6" w:rsidRDefault="00000000">
            <w:pPr>
              <w:keepLines/>
              <w:spacing w:line="240" w:lineRule="auto"/>
            </w:pPr>
            <w:r>
              <w:rPr>
                <w:color w:val="000000"/>
              </w:rPr>
              <w:t>SSP5-8.5</w:t>
            </w:r>
          </w:p>
        </w:tc>
        <w:tc>
          <w:tcPr>
            <w:tcW w:w="1512" w:type="dxa"/>
            <w:tcMar>
              <w:top w:w="35" w:type="dxa"/>
              <w:left w:w="55" w:type="dxa"/>
              <w:bottom w:w="35" w:type="dxa"/>
              <w:right w:w="55" w:type="dxa"/>
            </w:tcMar>
            <w:vAlign w:val="center"/>
          </w:tcPr>
          <w:p w14:paraId="6BF273BE" w14:textId="77777777" w:rsidR="00C94FE6" w:rsidRDefault="00000000">
            <w:pPr>
              <w:keepLines/>
              <w:spacing w:line="240" w:lineRule="auto"/>
            </w:pPr>
            <w:r>
              <w:rPr>
                <w:color w:val="000000"/>
              </w:rPr>
              <w:t>2081–2100</w:t>
            </w:r>
          </w:p>
        </w:tc>
        <w:tc>
          <w:tcPr>
            <w:tcW w:w="1224" w:type="dxa"/>
            <w:tcMar>
              <w:top w:w="35" w:type="dxa"/>
              <w:left w:w="55" w:type="dxa"/>
              <w:bottom w:w="35" w:type="dxa"/>
              <w:right w:w="55" w:type="dxa"/>
            </w:tcMar>
            <w:vAlign w:val="center"/>
          </w:tcPr>
          <w:p w14:paraId="4F4F3F67" w14:textId="77777777" w:rsidR="00C94FE6" w:rsidRDefault="00000000">
            <w:pPr>
              <w:keepLines/>
              <w:spacing w:line="240" w:lineRule="auto"/>
              <w:jc w:val="center"/>
            </w:pPr>
            <w:r>
              <w:rPr>
                <w:color w:val="000000"/>
              </w:rPr>
              <w:t>R99p</w:t>
            </w:r>
          </w:p>
        </w:tc>
        <w:tc>
          <w:tcPr>
            <w:tcW w:w="3384" w:type="dxa"/>
            <w:tcMar>
              <w:top w:w="35" w:type="dxa"/>
              <w:left w:w="55" w:type="dxa"/>
              <w:bottom w:w="35" w:type="dxa"/>
              <w:right w:w="55" w:type="dxa"/>
            </w:tcMar>
            <w:vAlign w:val="center"/>
          </w:tcPr>
          <w:p w14:paraId="2E40242B" w14:textId="77777777" w:rsidR="00C94FE6" w:rsidRDefault="00000000">
            <w:pPr>
              <w:keepLines/>
              <w:spacing w:line="240" w:lineRule="auto"/>
              <w:jc w:val="center"/>
            </w:pPr>
            <w:r>
              <w:rPr>
                <w:color w:val="000000"/>
              </w:rPr>
              <w:t>-62.6 (-69.0 to -22.8)%</w:t>
            </w:r>
          </w:p>
        </w:tc>
        <w:tc>
          <w:tcPr>
            <w:tcW w:w="1008" w:type="dxa"/>
            <w:tcMar>
              <w:top w:w="35" w:type="dxa"/>
              <w:left w:w="55" w:type="dxa"/>
              <w:bottom w:w="35" w:type="dxa"/>
              <w:right w:w="55" w:type="dxa"/>
            </w:tcMar>
            <w:vAlign w:val="center"/>
          </w:tcPr>
          <w:p w14:paraId="6DB83F9D" w14:textId="77777777" w:rsidR="00C94FE6" w:rsidRDefault="00000000">
            <w:pPr>
              <w:keepLines/>
              <w:spacing w:line="240" w:lineRule="auto"/>
              <w:jc w:val="center"/>
            </w:pPr>
            <w:r>
              <w:rPr>
                <w:color w:val="000000"/>
              </w:rPr>
              <w:t>6/7</w:t>
            </w:r>
          </w:p>
        </w:tc>
      </w:tr>
      <w:tr w:rsidR="00C94FE6" w14:paraId="0BE59AAD" w14:textId="77777777">
        <w:trPr>
          <w:jc w:val="center"/>
        </w:trPr>
        <w:tc>
          <w:tcPr>
            <w:tcW w:w="1440" w:type="dxa"/>
            <w:tcMar>
              <w:top w:w="35" w:type="dxa"/>
              <w:left w:w="55" w:type="dxa"/>
              <w:bottom w:w="35" w:type="dxa"/>
              <w:right w:w="55" w:type="dxa"/>
            </w:tcMar>
            <w:vAlign w:val="center"/>
          </w:tcPr>
          <w:p w14:paraId="0E35D312" w14:textId="77777777" w:rsidR="00C94FE6" w:rsidRDefault="00000000">
            <w:pPr>
              <w:keepLines/>
              <w:spacing w:line="240" w:lineRule="auto"/>
            </w:pPr>
            <w:r>
              <w:rPr>
                <w:color w:val="000000"/>
              </w:rPr>
              <w:t>SSP5-8.5</w:t>
            </w:r>
          </w:p>
        </w:tc>
        <w:tc>
          <w:tcPr>
            <w:tcW w:w="1512" w:type="dxa"/>
            <w:tcMar>
              <w:top w:w="35" w:type="dxa"/>
              <w:left w:w="55" w:type="dxa"/>
              <w:bottom w:w="35" w:type="dxa"/>
              <w:right w:w="55" w:type="dxa"/>
            </w:tcMar>
            <w:vAlign w:val="center"/>
          </w:tcPr>
          <w:p w14:paraId="41EF029A" w14:textId="77777777" w:rsidR="00C94FE6" w:rsidRDefault="00000000">
            <w:pPr>
              <w:keepLines/>
              <w:spacing w:line="240" w:lineRule="auto"/>
            </w:pPr>
            <w:r>
              <w:rPr>
                <w:color w:val="000000"/>
              </w:rPr>
              <w:t>2081–2100</w:t>
            </w:r>
          </w:p>
        </w:tc>
        <w:tc>
          <w:tcPr>
            <w:tcW w:w="1224" w:type="dxa"/>
            <w:tcMar>
              <w:top w:w="35" w:type="dxa"/>
              <w:left w:w="55" w:type="dxa"/>
              <w:bottom w:w="35" w:type="dxa"/>
              <w:right w:w="55" w:type="dxa"/>
            </w:tcMar>
            <w:vAlign w:val="center"/>
          </w:tcPr>
          <w:p w14:paraId="0943961B" w14:textId="77777777" w:rsidR="00C94FE6" w:rsidRDefault="00000000">
            <w:pPr>
              <w:keepLines/>
              <w:spacing w:line="240" w:lineRule="auto"/>
              <w:jc w:val="center"/>
            </w:pPr>
            <w:r>
              <w:rPr>
                <w:color w:val="000000"/>
              </w:rPr>
              <w:t>CWD</w:t>
            </w:r>
          </w:p>
        </w:tc>
        <w:tc>
          <w:tcPr>
            <w:tcW w:w="3384" w:type="dxa"/>
            <w:tcMar>
              <w:top w:w="35" w:type="dxa"/>
              <w:left w:w="55" w:type="dxa"/>
              <w:bottom w:w="35" w:type="dxa"/>
              <w:right w:w="55" w:type="dxa"/>
            </w:tcMar>
            <w:vAlign w:val="center"/>
          </w:tcPr>
          <w:p w14:paraId="00E23A37" w14:textId="77777777" w:rsidR="00C94FE6" w:rsidRDefault="00000000">
            <w:pPr>
              <w:keepLines/>
              <w:spacing w:line="240" w:lineRule="auto"/>
              <w:jc w:val="center"/>
            </w:pPr>
            <w:r>
              <w:rPr>
                <w:color w:val="000000"/>
              </w:rPr>
              <w:t>-14.0 (-21.8 to -6.2)%</w:t>
            </w:r>
          </w:p>
        </w:tc>
        <w:tc>
          <w:tcPr>
            <w:tcW w:w="1008" w:type="dxa"/>
            <w:tcMar>
              <w:top w:w="35" w:type="dxa"/>
              <w:left w:w="55" w:type="dxa"/>
              <w:bottom w:w="35" w:type="dxa"/>
              <w:right w:w="55" w:type="dxa"/>
            </w:tcMar>
            <w:vAlign w:val="center"/>
          </w:tcPr>
          <w:p w14:paraId="01E0107F" w14:textId="77777777" w:rsidR="00C94FE6" w:rsidRDefault="00000000">
            <w:pPr>
              <w:keepLines/>
              <w:spacing w:line="240" w:lineRule="auto"/>
              <w:jc w:val="center"/>
            </w:pPr>
            <w:r>
              <w:rPr>
                <w:color w:val="000000"/>
              </w:rPr>
              <w:t>6/7</w:t>
            </w:r>
          </w:p>
        </w:tc>
      </w:tr>
      <w:tr w:rsidR="00C94FE6" w14:paraId="5D97708B" w14:textId="77777777">
        <w:trPr>
          <w:jc w:val="center"/>
        </w:trPr>
        <w:tc>
          <w:tcPr>
            <w:tcW w:w="1440" w:type="dxa"/>
            <w:tcMar>
              <w:top w:w="35" w:type="dxa"/>
              <w:left w:w="55" w:type="dxa"/>
              <w:bottom w:w="35" w:type="dxa"/>
              <w:right w:w="55" w:type="dxa"/>
            </w:tcMar>
            <w:vAlign w:val="center"/>
          </w:tcPr>
          <w:p w14:paraId="026BA937" w14:textId="77777777" w:rsidR="00C94FE6" w:rsidRDefault="00000000">
            <w:pPr>
              <w:keepLines/>
              <w:spacing w:line="240" w:lineRule="auto"/>
            </w:pPr>
            <w:r>
              <w:rPr>
                <w:color w:val="000000"/>
              </w:rPr>
              <w:t>SSP5-8.5</w:t>
            </w:r>
          </w:p>
        </w:tc>
        <w:tc>
          <w:tcPr>
            <w:tcW w:w="1512" w:type="dxa"/>
            <w:tcMar>
              <w:top w:w="35" w:type="dxa"/>
              <w:left w:w="55" w:type="dxa"/>
              <w:bottom w:w="35" w:type="dxa"/>
              <w:right w:w="55" w:type="dxa"/>
            </w:tcMar>
            <w:vAlign w:val="center"/>
          </w:tcPr>
          <w:p w14:paraId="77475D52" w14:textId="77777777" w:rsidR="00C94FE6" w:rsidRDefault="00000000">
            <w:pPr>
              <w:keepLines/>
              <w:spacing w:line="240" w:lineRule="auto"/>
            </w:pPr>
            <w:r>
              <w:rPr>
                <w:color w:val="000000"/>
              </w:rPr>
              <w:t>2081–2100</w:t>
            </w:r>
          </w:p>
        </w:tc>
        <w:tc>
          <w:tcPr>
            <w:tcW w:w="1224" w:type="dxa"/>
            <w:tcMar>
              <w:top w:w="35" w:type="dxa"/>
              <w:left w:w="55" w:type="dxa"/>
              <w:bottom w:w="35" w:type="dxa"/>
              <w:right w:w="55" w:type="dxa"/>
            </w:tcMar>
            <w:vAlign w:val="center"/>
          </w:tcPr>
          <w:p w14:paraId="07D3F855" w14:textId="77777777" w:rsidR="00C94FE6" w:rsidRDefault="00000000">
            <w:pPr>
              <w:keepLines/>
              <w:spacing w:line="240" w:lineRule="auto"/>
              <w:jc w:val="center"/>
            </w:pPr>
            <w:r>
              <w:rPr>
                <w:color w:val="000000"/>
              </w:rPr>
              <w:t>R50mm</w:t>
            </w:r>
          </w:p>
        </w:tc>
        <w:tc>
          <w:tcPr>
            <w:tcW w:w="3384" w:type="dxa"/>
            <w:tcMar>
              <w:top w:w="35" w:type="dxa"/>
              <w:left w:w="55" w:type="dxa"/>
              <w:bottom w:w="35" w:type="dxa"/>
              <w:right w:w="55" w:type="dxa"/>
            </w:tcMar>
            <w:vAlign w:val="center"/>
          </w:tcPr>
          <w:p w14:paraId="69EA8CFF" w14:textId="77777777" w:rsidR="00C94FE6" w:rsidRDefault="00000000">
            <w:pPr>
              <w:keepLines/>
              <w:spacing w:line="240" w:lineRule="auto"/>
              <w:jc w:val="center"/>
            </w:pPr>
            <w:r>
              <w:rPr>
                <w:color w:val="000000"/>
              </w:rPr>
              <w:t>-1.18 (-1.53 to -0.56) d yr⁻¹</w:t>
            </w:r>
          </w:p>
        </w:tc>
        <w:tc>
          <w:tcPr>
            <w:tcW w:w="1008" w:type="dxa"/>
            <w:tcMar>
              <w:top w:w="35" w:type="dxa"/>
              <w:left w:w="55" w:type="dxa"/>
              <w:bottom w:w="35" w:type="dxa"/>
              <w:right w:w="55" w:type="dxa"/>
            </w:tcMar>
            <w:vAlign w:val="center"/>
          </w:tcPr>
          <w:p w14:paraId="663014B6" w14:textId="77777777" w:rsidR="00C94FE6" w:rsidRDefault="00000000">
            <w:pPr>
              <w:keepLines/>
              <w:spacing w:line="240" w:lineRule="auto"/>
              <w:jc w:val="center"/>
            </w:pPr>
            <w:r>
              <w:rPr>
                <w:color w:val="000000"/>
              </w:rPr>
              <w:t>6/7</w:t>
            </w:r>
          </w:p>
        </w:tc>
      </w:tr>
    </w:tbl>
    <w:p w14:paraId="15C569F4" w14:textId="77777777" w:rsidR="00C94FE6" w:rsidRDefault="00C94FE6">
      <w:pPr>
        <w:spacing w:line="240" w:lineRule="auto"/>
      </w:pPr>
    </w:p>
    <w:p w14:paraId="517E66DE" w14:textId="77777777" w:rsidR="00C94FE6" w:rsidRDefault="00000000">
      <w:pPr>
        <w:spacing w:line="240" w:lineRule="auto"/>
      </w:pPr>
      <w:r>
        <w:rPr>
          <w:color w:val="000000"/>
        </w:rPr>
        <w:t>Note: IQR is the interquartile range across seven model-level regional changes. Robustness requires agreement by ≥6/7 models and is descriptive, not a significance test. R50mm is reported in absolute units.</w:t>
      </w:r>
    </w:p>
    <w:p w14:paraId="793D3972" w14:textId="77777777" w:rsidR="00C94FE6" w:rsidRDefault="00000000">
      <w:pPr>
        <w:pStyle w:val="1"/>
        <w:keepLines/>
      </w:pPr>
      <w:r>
        <w:t>4. Discussion</w:t>
      </w:r>
    </w:p>
    <w:p w14:paraId="3CD1D2B6" w14:textId="77777777" w:rsidR="00C94FE6" w:rsidRDefault="00000000">
      <w:pPr>
        <w:pStyle w:val="2"/>
        <w:keepLines/>
      </w:pPr>
      <w:r>
        <w:t>4.1 Baseline definition is part of the scientific estimand</w:t>
      </w:r>
    </w:p>
    <w:p w14:paraId="588D532D" w14:textId="77777777" w:rsidR="00C94FE6" w:rsidRDefault="00000000">
      <w:pPr>
        <w:jc w:val="both"/>
      </w:pPr>
      <w:r>
        <w:rPr>
          <w:color w:val="000000"/>
        </w:rPr>
        <w:t>A future-versus-observed comparison answers an absolute consistency question: how does a model's future climatology compare with the observed past? When historical correction is imperfect, however, that contrast equals the model's simulated change plus residual historical bias. The model-consistent contrast better isolates the change carried by each corrected simulation. This distinction was consequential in Uttaradit because residual biases for spells and upper-tail indices were often larger than the projected near- and mid-century changes. The legacy R50mm example further showed that averaging station-level percentages can produce a sign opposite to the absolute regional change when denominators are small. Absolute units, regional ratios, and sign agreement should therefore be examined together.</w:t>
      </w:r>
    </w:p>
    <w:p w14:paraId="40BCD4FE" w14:textId="77777777" w:rsidR="00C94FE6" w:rsidRDefault="00000000">
      <w:pPr>
        <w:jc w:val="both"/>
      </w:pPr>
      <w:r>
        <w:rPr>
          <w:color w:val="000000"/>
        </w:rPr>
        <w:t>These findings reinforce two methodological principles. First, bias correction should be evaluated out of sample and for the properties used in impact analysis, not only for mean rainfall. Daily probability distributions contain occurrence and tail behavior that monthly statistics can hide [7]. Second, future change preservation must be demonstrated. QDM is designed to preserve relative changes in model quantiles [8], but the supplied archive was insufficient to verify its calibration, and only two-thirds of derived index changes retained the raw-model sign. The latter result is a diagnostic warning rather than a definitive QDM assessment because annual spells and threshold exceedances are nonlinear functions of daily rainfall.</w:t>
      </w:r>
    </w:p>
    <w:p w14:paraId="2743E07A" w14:textId="77777777" w:rsidR="00C94FE6" w:rsidRDefault="00000000">
      <w:pPr>
        <w:pStyle w:val="2"/>
        <w:keepLines/>
      </w:pPr>
      <w:r>
        <w:t>4.2 Interpretation for Uttaradit</w:t>
      </w:r>
    </w:p>
    <w:p w14:paraId="720777BE" w14:textId="77777777" w:rsidR="00C94FE6" w:rsidRDefault="00000000">
      <w:pPr>
        <w:jc w:val="both"/>
      </w:pPr>
      <w:r>
        <w:rPr>
          <w:color w:val="000000"/>
        </w:rPr>
        <w:t xml:space="preserve">The audited projections describe two different projection patterns. Under SSP2-4.5, the most coherent signal was a mid-century intensification of multi-day and upper-tail rainfall without a robust change in annual wet-day total. This combination could matter for short-duration drainage and erosion planning, but no direct flood consequence can be inferred without catchment, soil, river, and exposure data. Under SSP5-8.5, the long-term result was a widespread reduction in total rainfall, wet-spell persistence, and heavy-rainfall totals. Because CDD was </w:t>
      </w:r>
      <w:r>
        <w:rPr>
          <w:color w:val="000000"/>
        </w:rPr>
        <w:lastRenderedPageBreak/>
        <w:t>ambiguous, the result should not be translated into a claim of longer annual dry spells; it more directly indicates fewer and weaker modeled wet events.</w:t>
      </w:r>
    </w:p>
    <w:p w14:paraId="2389A28B" w14:textId="77777777" w:rsidR="00C94FE6" w:rsidRDefault="00000000">
      <w:pPr>
        <w:jc w:val="both"/>
      </w:pPr>
      <w:r>
        <w:rPr>
          <w:color w:val="000000"/>
        </w:rPr>
        <w:t>The strong late-century SSP5-8.5 drying in this seven-model local archive differs from the broad IPCC assessment that heavy precipitation will increase over much of Asia [1]. Such a difference is not necessarily contradictory: IPCC statements cover large reference regions and calibrated lines of evidence, whereas the present analysis concerns one province, a small equal-weight ensemble, supplied corrected station series, and annual index summaries. Thailand studies have likewise shown substantial dependence on model, subregion, season, and period [12,13]. The local signal should therefore be treated as a scenario-conditioned stress test, not a replacement for regional assessment.</w:t>
      </w:r>
    </w:p>
    <w:p w14:paraId="722D8556" w14:textId="77777777" w:rsidR="00C94FE6" w:rsidRDefault="00000000">
      <w:pPr>
        <w:jc w:val="both"/>
      </w:pPr>
      <w:r>
        <w:rPr>
          <w:color w:val="000000"/>
        </w:rPr>
        <w:t>The results can inform the climate-information component of provincial planning. SSP2-4.5 mid-century upper-tail increases support testing preparedness for concentrated rainfall, while SSP5-8.5 late-century reductions support testing water-supply and agricultural systems against lower annual inflow and shorter wet spells. Thailand's National Adaptation Plan emphasizes science-based subnational risk information [20]. Translation to operational thresholds requires seasonal analyses and sector-specific response models beyond the scope of this study.</w:t>
      </w:r>
    </w:p>
    <w:p w14:paraId="57612216" w14:textId="77777777" w:rsidR="00C94FE6" w:rsidRDefault="00000000">
      <w:pPr>
        <w:pStyle w:val="2"/>
        <w:keepLines/>
      </w:pPr>
      <w:r>
        <w:t>4.3 Limitations and priorities for revision</w:t>
      </w:r>
    </w:p>
    <w:p w14:paraId="44658AEC" w14:textId="77777777" w:rsidR="00C94FE6" w:rsidRDefault="00000000">
      <w:pPr>
        <w:jc w:val="both"/>
      </w:pPr>
      <w:r>
        <w:rPr>
          <w:color w:val="000000"/>
        </w:rPr>
        <w:t>Several limitations bound the conclusions. The bias-correction algorithm, training period, wet-day occurrence treatment, extrapolation rule, and validation split were not included; these must be archived before journal submission. The seven models were equally weighted and represented by one realization each, without adjustment for shared genealogy or dependence [11]. The station-indexed model series may originate from fewer independent source grid cells than the 13 station labels, while the equal station average does not represent province area. Only annual indices were analyzed, so monsoon onset, cessation, and seasonal risk windows remain unresolved. Fixed 1981–2014 observed thresholds were used for R95p and R99p. Because threshold exceedance totals are nonlinear, subtracting each model's corrected historical result does not guarantee that threshold-transfer bias cancels; these results should be interpreted as changes in observed-threshold exceedance totals in the supplied corrected series, and alternative thresholds should be tested. Calendar differences were retained rather than imputed. Finally, the robustness flag measures model sign agreement and does not quantify probability, internal variability, or statistical significance.</w:t>
      </w:r>
    </w:p>
    <w:p w14:paraId="068F4CEA" w14:textId="77777777" w:rsidR="00C94FE6" w:rsidRDefault="00000000">
      <w:pPr>
        <w:jc w:val="both"/>
      </w:pPr>
      <w:r>
        <w:rPr>
          <w:color w:val="000000"/>
        </w:rPr>
        <w:t xml:space="preserve">A publication-final analysis should therefore include the bias-correction source code and a blocked calibration–validation design; a raw-versus-corrected change-factor audit by quantile; sensitivity to model dependence or </w:t>
      </w:r>
      <w:r>
        <w:rPr>
          <w:color w:val="000000"/>
        </w:rPr>
        <w:lastRenderedPageBreak/>
        <w:t>performance weighting; bootstrap uncertainty for ensemble medians; seasonal indices; and, if available, an independent observational product. These additions would strengthen, rather than merely enlarge, the evidence base.</w:t>
      </w:r>
    </w:p>
    <w:p w14:paraId="428663EE" w14:textId="77777777" w:rsidR="00C94FE6" w:rsidRDefault="00000000">
      <w:pPr>
        <w:pStyle w:val="1"/>
        <w:keepLines/>
      </w:pPr>
      <w:r>
        <w:t>5. Conclusion</w:t>
      </w:r>
    </w:p>
    <w:p w14:paraId="38B480C5" w14:textId="77777777" w:rsidR="00C94FE6" w:rsidRDefault="00000000">
      <w:pPr>
        <w:jc w:val="both"/>
      </w:pPr>
      <w:r>
        <w:rPr>
          <w:color w:val="000000"/>
        </w:rPr>
        <w:t>Independent recomputation showed that the supplied workflow is traceable but that its headline conclusions are sensitive to residual bias, baseline source, overlapping windows, and percentage aggregation. The overlapping legacy windows are non-independent. Within the non-overlapping AR6-style periods, replacing the observed reference with each model's corrected historical baseline changed the sign of 25/66 results and the robustness class of 37/66 results. The corrected interpretation is specific: SSP2-4.5 supports mid-century increases in selected multi-day and upper-tail indices, whereas SSP5-8.5 supports strong late-century reductions in rainfall amount, wet-day intensity, wet-spell duration, and heavy-rainfall totals; CDD is not robust. These projections are suitable as bounded climate-hazard scenarios only after their correction provenance and out-of-sample performance are documented.</w:t>
      </w:r>
    </w:p>
    <w:p w14:paraId="7FBCE133" w14:textId="77777777" w:rsidR="00C94FE6" w:rsidRDefault="00000000">
      <w:pPr>
        <w:pStyle w:val="1"/>
        <w:keepLines/>
      </w:pPr>
      <w:r>
        <w:t>6. Ethical Approval</w:t>
      </w:r>
    </w:p>
    <w:p w14:paraId="0C18675A" w14:textId="77777777" w:rsidR="00C94FE6" w:rsidRDefault="00000000">
      <w:pPr>
        <w:jc w:val="both"/>
      </w:pPr>
      <w:r>
        <w:rPr>
          <w:color w:val="000000"/>
        </w:rPr>
        <w:t>Not applicable. This study used meteorological observations and climate-model simulations and did not involve human participants or animals.</w:t>
      </w:r>
    </w:p>
    <w:p w14:paraId="1F41AB0F" w14:textId="77777777" w:rsidR="00C94FE6" w:rsidRDefault="00000000">
      <w:pPr>
        <w:pStyle w:val="1"/>
        <w:keepLines/>
      </w:pPr>
      <w:r>
        <w:t>7. Declaration of Generative AI and AI-Assisted Technologies in the Writing Process</w:t>
      </w:r>
    </w:p>
    <w:p w14:paraId="354C1D3D" w14:textId="77777777" w:rsidR="00C94FE6" w:rsidRDefault="00000000">
      <w:pPr>
        <w:jc w:val="both"/>
      </w:pPr>
      <w:r>
        <w:rPr>
          <w:color w:val="000000"/>
        </w:rPr>
        <w:t xml:space="preserve">During preparation of this draft, the author(s) used OpenAI Codex to assist with code auditing, independent recalculation, data visualization, document formatting, and language drafting. The author(s) must review and edit the content, verify all references and declarations, and accept full responsibility for the submitted publication. </w:t>
      </w:r>
      <w:r>
        <w:rPr>
          <w:b/>
          <w:color w:val="000000"/>
        </w:rPr>
        <w:t>[Author confirmation required before submission.]</w:t>
      </w:r>
    </w:p>
    <w:p w14:paraId="440A8F3E" w14:textId="77777777" w:rsidR="00C94FE6" w:rsidRDefault="00000000">
      <w:pPr>
        <w:pStyle w:val="1"/>
        <w:keepLines/>
      </w:pPr>
      <w:r>
        <w:t>8. Acknowledgements</w:t>
      </w:r>
    </w:p>
    <w:p w14:paraId="64260E72" w14:textId="77777777" w:rsidR="00C94FE6" w:rsidRDefault="00000000">
      <w:pPr>
        <w:jc w:val="both"/>
      </w:pPr>
      <w:r>
        <w:rPr>
          <w:b/>
          <w:color w:val="000000"/>
        </w:rPr>
        <w:t>[Insert acknowledgements and funding source, including grant number, or state “None”.]</w:t>
      </w:r>
    </w:p>
    <w:p w14:paraId="23050BD9" w14:textId="77777777" w:rsidR="00C94FE6" w:rsidRDefault="00000000">
      <w:pPr>
        <w:pStyle w:val="1"/>
        <w:keepLines/>
      </w:pPr>
      <w:r>
        <w:t>9. Author Contributions</w:t>
      </w:r>
    </w:p>
    <w:p w14:paraId="13A454E8" w14:textId="77777777" w:rsidR="00C94FE6" w:rsidRDefault="00000000">
      <w:pPr>
        <w:jc w:val="both"/>
      </w:pPr>
      <w:r>
        <w:rPr>
          <w:b/>
          <w:color w:val="000000"/>
        </w:rPr>
        <w:t>[Replace with author names and verified CRediT roles: Conceptualization; Data curation; Formal analysis; Investigation; Methodology; Software; Validation; Visualization; Writing – original draft; Writing – review and editing.]</w:t>
      </w:r>
    </w:p>
    <w:p w14:paraId="225A104A" w14:textId="77777777" w:rsidR="00C94FE6" w:rsidRDefault="00000000">
      <w:pPr>
        <w:pStyle w:val="1"/>
        <w:keepLines/>
      </w:pPr>
      <w:r>
        <w:t>10. Conflicts of Interest</w:t>
      </w:r>
    </w:p>
    <w:p w14:paraId="742FAFB6" w14:textId="77777777" w:rsidR="00C94FE6" w:rsidRDefault="00000000">
      <w:pPr>
        <w:jc w:val="both"/>
      </w:pPr>
      <w:r>
        <w:rPr>
          <w:b/>
          <w:color w:val="000000"/>
        </w:rPr>
        <w:t>[Author confirmation required: declare any competing interests or state that none exist.]</w:t>
      </w:r>
    </w:p>
    <w:p w14:paraId="6474C83C" w14:textId="77777777" w:rsidR="00C94FE6" w:rsidRDefault="00000000">
      <w:pPr>
        <w:pStyle w:val="1"/>
        <w:keepLines/>
      </w:pPr>
      <w:r>
        <w:lastRenderedPageBreak/>
        <w:t>11. Data and Code Availability</w:t>
      </w:r>
    </w:p>
    <w:p w14:paraId="6F328E05" w14:textId="77777777" w:rsidR="00C94FE6" w:rsidRDefault="00000000">
      <w:pPr>
        <w:jc w:val="both"/>
      </w:pPr>
      <w:r>
        <w:rPr>
          <w:color w:val="000000"/>
        </w:rPr>
        <w:t xml:space="preserve">The observations, model series, source code, and archived outputs used for this draft were supplied by the study authors. </w:t>
      </w:r>
      <w:r>
        <w:rPr>
          <w:b/>
          <w:color w:val="000000"/>
        </w:rPr>
        <w:t>[Before submission, provide a repository URL/DOI, access conditions, software environment, and the complete bias-correction provenance.]</w:t>
      </w:r>
    </w:p>
    <w:p w14:paraId="017F490F" w14:textId="77777777" w:rsidR="00C94FE6" w:rsidRDefault="00000000">
      <w:pPr>
        <w:pStyle w:val="1"/>
        <w:keepLines/>
      </w:pPr>
      <w:r>
        <w:t>12. References</w:t>
      </w:r>
    </w:p>
    <w:p w14:paraId="0B228604" w14:textId="77777777" w:rsidR="00C94FE6" w:rsidRDefault="00000000">
      <w:pPr>
        <w:ind w:left="360" w:hanging="360"/>
        <w:jc w:val="both"/>
      </w:pPr>
      <w:r>
        <w:rPr>
          <w:color w:val="000000"/>
        </w:rPr>
        <w:t>1. IPCC. Climate Change 2021: The Physical Science Basis. Contribution of Working Group I to the Sixth Assessment Report of the Intergovernmental Panel on Climate Change. Masson-Delmotte V, Zhai P, Pirani A, Connors SL, Péan C, Berger S, et al., editors. Cambridge: Cambridge University Press; 2021. doi:10.1017/9781009157896.</w:t>
      </w:r>
    </w:p>
    <w:p w14:paraId="467BF875" w14:textId="77777777" w:rsidR="00C94FE6" w:rsidRDefault="00000000">
      <w:pPr>
        <w:ind w:left="360" w:hanging="360"/>
        <w:jc w:val="both"/>
      </w:pPr>
      <w:r>
        <w:rPr>
          <w:color w:val="000000"/>
        </w:rPr>
        <w:t>2. Eyring V, Bony S, Meehl GA, Senior CA, Stevens B, Stouffer RJ, et al. Overview of the Coupled Model Intercomparison Project Phase 6 (CMIP6) experimental design and organization. Geosci Model Dev. 2016;9:1937-1958. doi:10.5194/gmd-9-1937-2016.</w:t>
      </w:r>
    </w:p>
    <w:p w14:paraId="1CF77DE8" w14:textId="77777777" w:rsidR="00C94FE6" w:rsidRDefault="00000000">
      <w:pPr>
        <w:ind w:left="360" w:hanging="360"/>
        <w:jc w:val="both"/>
      </w:pPr>
      <w:r>
        <w:rPr>
          <w:color w:val="000000"/>
        </w:rPr>
        <w:t>3. O'Neill BC, Tebaldi C, van Vuuren DP, Eyring V, Friedlingstein P, Hurtt G, et al. The Scenario Model Intercomparison Project (ScenarioMIP) for CMIP6. Geosci Model Dev. 2016;9:3461-3482. doi:10.5194/gmd-9-3461-2016.</w:t>
      </w:r>
    </w:p>
    <w:p w14:paraId="5DA5DD89" w14:textId="77777777" w:rsidR="00C94FE6" w:rsidRDefault="00000000">
      <w:pPr>
        <w:ind w:left="360" w:hanging="360"/>
        <w:jc w:val="both"/>
      </w:pPr>
      <w:r>
        <w:rPr>
          <w:color w:val="000000"/>
        </w:rPr>
        <w:t>4. Zhang X, Alexander L, Hegerl GC, Jones P, Klein Tank AMG, Peterson TC, et al. Indices for monitoring changes in extremes based on daily temperature and precipitation data. Wiley Interdiscip Rev Clim Change. 2011;2:851-870. doi:10.1002/wcc.147.</w:t>
      </w:r>
    </w:p>
    <w:p w14:paraId="3F30A9B6" w14:textId="77777777" w:rsidR="00C94FE6" w:rsidRDefault="00000000">
      <w:pPr>
        <w:ind w:left="360" w:hanging="360"/>
        <w:jc w:val="both"/>
      </w:pPr>
      <w:r>
        <w:rPr>
          <w:color w:val="000000"/>
        </w:rPr>
        <w:t>5. Donat MG, Alexander LV, Yang H, Durre I, Vose R, Dunn RJH, et al. Updated analyses of temperature and precipitation extreme indices since the beginning of the twentieth century: the HadEX2 dataset. J Geophys Res Atmos. 2013;118:2098-2118. doi:10.1002/jgrd.50150.</w:t>
      </w:r>
    </w:p>
    <w:p w14:paraId="48EB75E5" w14:textId="77777777" w:rsidR="00C94FE6" w:rsidRDefault="00000000">
      <w:pPr>
        <w:ind w:left="360" w:hanging="360"/>
        <w:jc w:val="both"/>
      </w:pPr>
      <w:r>
        <w:rPr>
          <w:color w:val="000000"/>
        </w:rPr>
        <w:t>6. Tung YS, Wang CY, Weng SP, Yang CD. Extreme index trends of daily gridded rainfall dataset (1960-2017) in Taiwan. Terr Atmos Ocean Sci. 2022;33:8. doi:10.1007/s44195-022-00009-z.</w:t>
      </w:r>
    </w:p>
    <w:p w14:paraId="0C16B6AC" w14:textId="77777777" w:rsidR="00C94FE6" w:rsidRDefault="00000000">
      <w:pPr>
        <w:ind w:left="360" w:hanging="360"/>
        <w:jc w:val="both"/>
      </w:pPr>
      <w:r>
        <w:rPr>
          <w:color w:val="000000"/>
        </w:rPr>
        <w:t>7. Martinez-Villalobos C, Neelin JD, Pendergrass AG. Metrics for evaluating CMIP6 representation of daily precipitation probability distributions. J Clim. 2022;35:5719-5743. doi:10.1175/JCLI-D-21-0617.1.</w:t>
      </w:r>
    </w:p>
    <w:p w14:paraId="5E6AAE36" w14:textId="77777777" w:rsidR="00C94FE6" w:rsidRDefault="00000000">
      <w:pPr>
        <w:ind w:left="360" w:hanging="360"/>
        <w:jc w:val="both"/>
      </w:pPr>
      <w:r>
        <w:rPr>
          <w:color w:val="000000"/>
        </w:rPr>
        <w:t>8. Cannon AJ, Sobie SR, Murdock TQ. Bias correction of GCM precipitation by quantile mapping: how well do methods preserve changes in quantiles and extremes? J Clim. 2015;28:6938-6959. doi:10.1175/JCLI-D-14-00754.1.</w:t>
      </w:r>
    </w:p>
    <w:p w14:paraId="3DAA43A1" w14:textId="77777777" w:rsidR="00C94FE6" w:rsidRDefault="00000000">
      <w:pPr>
        <w:ind w:left="360" w:hanging="360"/>
        <w:jc w:val="both"/>
      </w:pPr>
      <w:r>
        <w:rPr>
          <w:color w:val="000000"/>
        </w:rPr>
        <w:t>9. Taylor KE. Summarizing multiple aspects of model performance in a single diagram. J Geophys Res Atmos. 2001;106:7183-7192. doi:10.1029/2000JD900719.</w:t>
      </w:r>
    </w:p>
    <w:p w14:paraId="47F1548D" w14:textId="77777777" w:rsidR="00C94FE6" w:rsidRDefault="00000000">
      <w:pPr>
        <w:ind w:left="360" w:hanging="360"/>
        <w:jc w:val="both"/>
      </w:pPr>
      <w:r>
        <w:rPr>
          <w:color w:val="000000"/>
        </w:rPr>
        <w:lastRenderedPageBreak/>
        <w:t>10. Gupta HV, Kling H, Yilmaz KK, Martinez GF. Decomposition of the mean squared error and NSE performance criteria: implications for improving hydrological modelling. J Hydrol. 2009;377:80-91. doi:10.1016/j.jhydrol.2009.08.003.</w:t>
      </w:r>
    </w:p>
    <w:p w14:paraId="10456FA1" w14:textId="77777777" w:rsidR="00C94FE6" w:rsidRDefault="00000000">
      <w:pPr>
        <w:ind w:left="360" w:hanging="360"/>
        <w:jc w:val="both"/>
      </w:pPr>
      <w:r>
        <w:rPr>
          <w:color w:val="000000"/>
        </w:rPr>
        <w:t>11. Knutti R, Sedláček J, Sanderson BM, Lorenz R, Fischer EM, Eyring V. A climate model projection weighting scheme accounting for performance and interdependence. Geophys Res Lett. 2017;44:1909-1918. doi:10.1002/2016GL072012.</w:t>
      </w:r>
    </w:p>
    <w:p w14:paraId="52D83520" w14:textId="77777777" w:rsidR="00C94FE6" w:rsidRDefault="00000000">
      <w:pPr>
        <w:ind w:left="360" w:hanging="360"/>
        <w:jc w:val="both"/>
      </w:pPr>
      <w:r>
        <w:rPr>
          <w:color w:val="000000"/>
        </w:rPr>
        <w:t>12. Supharatid S, Aribarg T, Nafung J. Bias-corrected CMIP6 climate model projection over Southeast Asia. Theor Appl Climatol. 2022;147:669-690. doi:10.1007/s00704-021-03844-1.</w:t>
      </w:r>
    </w:p>
    <w:p w14:paraId="4B7AEAF6" w14:textId="77777777" w:rsidR="00C94FE6" w:rsidRDefault="00000000">
      <w:pPr>
        <w:ind w:left="360" w:hanging="360"/>
        <w:jc w:val="both"/>
      </w:pPr>
      <w:r>
        <w:rPr>
          <w:color w:val="000000"/>
        </w:rPr>
        <w:t>13. Tangang F, Santisirisomboon J, Juneng L, Salimun E, Chung JX, Supari, et al. Projected future changes in mean precipitation over Thailand based on multi-model regional climate simulations of CORDEX Southeast Asia. Int J Climatol. 2019;39:5413-5436. doi:10.1002/joc.6163.</w:t>
      </w:r>
    </w:p>
    <w:p w14:paraId="4594AD25" w14:textId="77777777" w:rsidR="00C94FE6" w:rsidRDefault="00000000">
      <w:pPr>
        <w:ind w:left="360" w:hanging="360"/>
        <w:jc w:val="both"/>
      </w:pPr>
      <w:r>
        <w:rPr>
          <w:color w:val="000000"/>
        </w:rPr>
        <w:t>14. Moazzam MFU, Lee BG, Rahman G, Waqas T. Spatial rainfall variability and an increasing threat of drought, according to climate change in Uttaradit Province, Thailand. Atmos Clim Sci. 2020;10:357-371. doi:10.4236/acs.2020.103020.</w:t>
      </w:r>
    </w:p>
    <w:p w14:paraId="73C32CBF" w14:textId="77777777" w:rsidR="00C94FE6" w:rsidRDefault="00000000">
      <w:pPr>
        <w:ind w:left="360" w:hanging="360"/>
        <w:jc w:val="both"/>
      </w:pPr>
      <w:r>
        <w:rPr>
          <w:color w:val="000000"/>
        </w:rPr>
        <w:t>15. de Oliveira-Júnior JF, Mendes D, Porto HD, Cardoso KRA, Ferreira Neto JA, da Silva EBC, et al. Analysis of drought and extreme precipitation events in Thailand: trends, climate modeling, and implications for climate change adaptation. Sci Rep. 2025;15:4501. doi:10.1038/s41598-025-86826-x.</w:t>
      </w:r>
    </w:p>
    <w:p w14:paraId="21988018" w14:textId="77777777" w:rsidR="00C94FE6" w:rsidRDefault="00000000">
      <w:pPr>
        <w:ind w:left="360" w:hanging="360"/>
        <w:jc w:val="both"/>
      </w:pPr>
      <w:r>
        <w:rPr>
          <w:color w:val="000000"/>
        </w:rPr>
        <w:t>16. Leerach K, Iamchuen N, Thanawong K, Busababodhin P, Kirtsaeng S, Pimonsree S. Meso-scale spatiotemporal analysis of future drought characteristics in Northern Thailand under climate change and variability. Theor Appl Climatol. 2025;156:439. doi:10.1007/s00704-025-05662-1.</w:t>
      </w:r>
    </w:p>
    <w:p w14:paraId="7276D0FD" w14:textId="77777777" w:rsidR="00C94FE6" w:rsidRDefault="00000000">
      <w:pPr>
        <w:ind w:left="360" w:hanging="360"/>
        <w:jc w:val="both"/>
      </w:pPr>
      <w:r>
        <w:rPr>
          <w:color w:val="000000"/>
        </w:rPr>
        <w:t>17. Sittichok K, Kuntiyawichai K, Narudeesri-utai R. Extreme rainfall trends and return periods under CMIP6 scenarios in Southern Thailand. Water Sci. 2026;40:51. doi:10.1007/s44533-026-00050-8.</w:t>
      </w:r>
    </w:p>
    <w:p w14:paraId="533C638F" w14:textId="77777777" w:rsidR="00C94FE6" w:rsidRDefault="00000000">
      <w:pPr>
        <w:ind w:left="360" w:hanging="360"/>
        <w:jc w:val="both"/>
      </w:pPr>
      <w:r>
        <w:rPr>
          <w:color w:val="000000"/>
        </w:rPr>
        <w:t>18. Hamed KH, Rao AR. A modified Mann-Kendall trend test for autocorrelated data. J Hydrol. 1998;204:182-196. doi:10.1016/S0022-1694(97)00125-X.</w:t>
      </w:r>
    </w:p>
    <w:p w14:paraId="4EC44349" w14:textId="77777777" w:rsidR="00C94FE6" w:rsidRDefault="00000000">
      <w:pPr>
        <w:ind w:left="360" w:hanging="360"/>
        <w:jc w:val="both"/>
      </w:pPr>
      <w:r>
        <w:rPr>
          <w:color w:val="000000"/>
        </w:rPr>
        <w:t>19. Yue S, Pilon P, Phinney B, Cavadias G. The influence of autocorrelation on the ability to detect trend in hydrological series. Hydrol Process. 2002;16:1807-1829. doi:10.1002/hyp.1095.</w:t>
      </w:r>
    </w:p>
    <w:p w14:paraId="5A56154B" w14:textId="77777777" w:rsidR="00C94FE6" w:rsidRDefault="00000000">
      <w:pPr>
        <w:ind w:left="360" w:hanging="360"/>
        <w:jc w:val="both"/>
      </w:pPr>
      <w:r>
        <w:rPr>
          <w:color w:val="000000"/>
        </w:rPr>
        <w:t>20. Government of Thailand. Thailand's National Adaptation Plan. Bangkok: Department of Climate Change and Environment; 2024. Available from: https://unfccc.int/documents/638001.</w:t>
      </w:r>
    </w:p>
    <w:sectPr w:rsidR="00C94FE6" w:rsidSect="00351F98">
      <w:headerReference w:type="even" r:id="rId12"/>
      <w:headerReference w:type="default" r:id="rId13"/>
      <w:headerReference w:type="first" r:id="rId14"/>
      <w:type w:val="continuous"/>
      <w:pgSz w:w="11907" w:h="16840" w:code="9"/>
      <w:pgMar w:top="1440" w:right="1440" w:bottom="1440" w:left="1440" w:header="709" w:footer="1440" w:gutter="0"/>
      <w:cols w:space="27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5BF3F" w14:textId="77777777" w:rsidR="00B70F48" w:rsidRDefault="00B70F48" w:rsidP="00C46F10">
      <w:pPr>
        <w:spacing w:line="240" w:lineRule="auto"/>
      </w:pPr>
      <w:r>
        <w:separator/>
      </w:r>
    </w:p>
  </w:endnote>
  <w:endnote w:type="continuationSeparator" w:id="0">
    <w:p w14:paraId="78387095" w14:textId="77777777" w:rsidR="00B70F48" w:rsidRDefault="00B70F48" w:rsidP="00C46F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M R 10">
    <w:altName w:val="Calibri"/>
    <w:panose1 w:val="00000000000000000000"/>
    <w:charset w:val="00"/>
    <w:family w:val="swiss"/>
    <w:notTrueType/>
    <w:pitch w:val="default"/>
    <w:sig w:usb0="00000003" w:usb1="00000000" w:usb2="00000000" w:usb3="00000000" w:csb0="00000001" w:csb1="00000000"/>
  </w:font>
  <w:font w:name="Helvetica">
    <w:panose1 w:val="020B0504020202020204"/>
    <w:charset w:val="00"/>
    <w:family w:val="swiss"/>
    <w:notTrueType/>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윤명조120">
    <w:altName w:val="Batang"/>
    <w:charset w:val="81"/>
    <w:family w:val="roman"/>
    <w:pitch w:val="variable"/>
    <w:sig w:usb0="00000000" w:usb1="29D77CFB" w:usb2="00000010" w:usb3="00000000" w:csb0="0008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CFE14" w14:textId="77777777" w:rsidR="00B70F48" w:rsidRDefault="00B70F48" w:rsidP="00C46F10">
      <w:pPr>
        <w:spacing w:line="240" w:lineRule="auto"/>
      </w:pPr>
      <w:r>
        <w:separator/>
      </w:r>
    </w:p>
  </w:footnote>
  <w:footnote w:type="continuationSeparator" w:id="0">
    <w:p w14:paraId="2FE10AF1" w14:textId="77777777" w:rsidR="00B70F48" w:rsidRDefault="00B70F48" w:rsidP="00C46F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7790908"/>
      <w:docPartObj>
        <w:docPartGallery w:val="Page Numbers (Top of Page)"/>
        <w:docPartUnique/>
      </w:docPartObj>
    </w:sdtPr>
    <w:sdtContent>
      <w:p w14:paraId="4523C66C" w14:textId="77777777" w:rsidR="007C59D2" w:rsidRDefault="007C59D2">
        <w:pPr>
          <w:pStyle w:val="a4"/>
          <w:jc w:val="right"/>
        </w:pPr>
        <w:r w:rsidRPr="00C70E33">
          <w:rPr>
            <w:rFonts w:cs="Times New Roman"/>
            <w:szCs w:val="20"/>
          </w:rPr>
          <w:fldChar w:fldCharType="begin"/>
        </w:r>
        <w:r w:rsidRPr="00C70E33">
          <w:rPr>
            <w:rFonts w:cs="Times New Roman"/>
            <w:szCs w:val="20"/>
          </w:rPr>
          <w:instrText>PAGE   \* MERGEFORMAT</w:instrText>
        </w:r>
        <w:r w:rsidRPr="00C70E33">
          <w:rPr>
            <w:rFonts w:cs="Times New Roman"/>
            <w:szCs w:val="20"/>
          </w:rPr>
          <w:fldChar w:fldCharType="separate"/>
        </w:r>
        <w:r w:rsidR="009D3815" w:rsidRPr="009D3815">
          <w:rPr>
            <w:rFonts w:cs="Times New Roman"/>
            <w:noProof/>
            <w:szCs w:val="20"/>
            <w:lang w:val="th-TH"/>
          </w:rPr>
          <w:t>2</w:t>
        </w:r>
        <w:r w:rsidRPr="00C70E33">
          <w:rPr>
            <w:rFonts w:cs="Times New Roman"/>
            <w:szCs w:val="20"/>
          </w:rPr>
          <w:fldChar w:fldCharType="end"/>
        </w:r>
      </w:p>
    </w:sdtContent>
  </w:sdt>
  <w:p w14:paraId="088005FD" w14:textId="77777777" w:rsidR="007C59D2" w:rsidRDefault="007C59D2">
    <w:pPr>
      <w:pStyle w:val="a4"/>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1798540"/>
      <w:docPartObj>
        <w:docPartGallery w:val="Page Numbers (Top of Page)"/>
        <w:docPartUnique/>
      </w:docPartObj>
    </w:sdtPr>
    <w:sdtEndPr>
      <w:rPr>
        <w:noProof/>
      </w:rPr>
    </w:sdtEndPr>
    <w:sdtContent>
      <w:p w14:paraId="6A9FE208" w14:textId="77777777" w:rsidR="00351F98" w:rsidRDefault="00351F98">
        <w:pPr>
          <w:pStyle w:val="a4"/>
          <w:jc w:val="right"/>
        </w:pPr>
        <w:r>
          <w:fldChar w:fldCharType="begin"/>
        </w:r>
        <w:r>
          <w:instrText xml:space="preserve"> PAGE   \* MERGEFORMAT </w:instrText>
        </w:r>
        <w:r>
          <w:fldChar w:fldCharType="separate"/>
        </w:r>
        <w:r>
          <w:rPr>
            <w:noProof/>
          </w:rPr>
          <w:t>2</w:t>
        </w:r>
        <w:r>
          <w:rPr>
            <w:noProof/>
          </w:rPr>
          <w:fldChar w:fldCharType="end"/>
        </w:r>
      </w:p>
    </w:sdtContent>
  </w:sdt>
  <w:p w14:paraId="12AF3F53" w14:textId="77777777" w:rsidR="007C59D2" w:rsidRDefault="007C59D2">
    <w:pPr>
      <w:pStyle w:val="a4"/>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8797217"/>
      <w:docPartObj>
        <w:docPartGallery w:val="Page Numbers (Top of Page)"/>
        <w:docPartUnique/>
      </w:docPartObj>
    </w:sdtPr>
    <w:sdtEndPr>
      <w:rPr>
        <w:rFonts w:cs="Times New Roman"/>
        <w:noProof/>
        <w:szCs w:val="20"/>
      </w:rPr>
    </w:sdtEndPr>
    <w:sdtContent>
      <w:p w14:paraId="3EADA7FA" w14:textId="77777777" w:rsidR="00882F53" w:rsidRPr="00754AF5" w:rsidRDefault="00882F53">
        <w:pPr>
          <w:pStyle w:val="a4"/>
          <w:jc w:val="right"/>
          <w:rPr>
            <w:rFonts w:cs="Times New Roman"/>
            <w:szCs w:val="20"/>
          </w:rPr>
        </w:pPr>
        <w:r w:rsidRPr="00754AF5">
          <w:rPr>
            <w:rFonts w:cs="Times New Roman"/>
            <w:szCs w:val="20"/>
          </w:rPr>
          <w:fldChar w:fldCharType="begin"/>
        </w:r>
        <w:r w:rsidRPr="00754AF5">
          <w:rPr>
            <w:rFonts w:cs="Times New Roman"/>
            <w:szCs w:val="20"/>
          </w:rPr>
          <w:instrText xml:space="preserve"> PAGE   \* MERGEFORMAT </w:instrText>
        </w:r>
        <w:r w:rsidRPr="00754AF5">
          <w:rPr>
            <w:rFonts w:cs="Times New Roman"/>
            <w:szCs w:val="20"/>
          </w:rPr>
          <w:fldChar w:fldCharType="separate"/>
        </w:r>
        <w:r w:rsidR="009D3815">
          <w:rPr>
            <w:rFonts w:cs="Times New Roman"/>
            <w:noProof/>
            <w:szCs w:val="20"/>
          </w:rPr>
          <w:t>1</w:t>
        </w:r>
        <w:r w:rsidRPr="00754AF5">
          <w:rPr>
            <w:rFonts w:cs="Times New Roman"/>
            <w:noProof/>
            <w:szCs w:val="20"/>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330EB"/>
    <w:multiLevelType w:val="hybridMultilevel"/>
    <w:tmpl w:val="D49E40A4"/>
    <w:lvl w:ilvl="0" w:tplc="647C80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715466"/>
    <w:multiLevelType w:val="hybridMultilevel"/>
    <w:tmpl w:val="2776285A"/>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 w15:restartNumberingAfterBreak="0">
    <w:nsid w:val="16D5208D"/>
    <w:multiLevelType w:val="multilevel"/>
    <w:tmpl w:val="035E8F8A"/>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786"/>
        </w:tabs>
        <w:ind w:left="786"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17600173"/>
    <w:multiLevelType w:val="hybridMultilevel"/>
    <w:tmpl w:val="B0564310"/>
    <w:lvl w:ilvl="0" w:tplc="397C9A40">
      <w:start w:val="1"/>
      <w:numFmt w:val="decimal"/>
      <w:lvlText w:val="[%1]"/>
      <w:lvlJc w:val="left"/>
      <w:pPr>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7F12563"/>
    <w:multiLevelType w:val="hybridMultilevel"/>
    <w:tmpl w:val="A61C318A"/>
    <w:lvl w:ilvl="0" w:tplc="647C80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C74C6C"/>
    <w:multiLevelType w:val="hybridMultilevel"/>
    <w:tmpl w:val="1980B954"/>
    <w:lvl w:ilvl="0" w:tplc="763C780E">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 w15:restartNumberingAfterBreak="0">
    <w:nsid w:val="272E5AB5"/>
    <w:multiLevelType w:val="hybridMultilevel"/>
    <w:tmpl w:val="62CE0898"/>
    <w:lvl w:ilvl="0" w:tplc="0F6E2B02">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 w15:restartNumberingAfterBreak="0">
    <w:nsid w:val="27CC6D2A"/>
    <w:multiLevelType w:val="multilevel"/>
    <w:tmpl w:val="74A2F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583E63"/>
    <w:multiLevelType w:val="hybridMultilevel"/>
    <w:tmpl w:val="F4340A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680A14"/>
    <w:multiLevelType w:val="hybridMultilevel"/>
    <w:tmpl w:val="A28672A0"/>
    <w:lvl w:ilvl="0" w:tplc="04090001">
      <w:start w:val="1"/>
      <w:numFmt w:val="bullet"/>
      <w:lvlText w:val=""/>
      <w:lvlJc w:val="left"/>
      <w:pPr>
        <w:ind w:left="1005" w:hanging="360"/>
      </w:pPr>
      <w:rPr>
        <w:rFonts w:ascii="Symbol" w:hAnsi="Symbol" w:hint="default"/>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10" w15:restartNumberingAfterBreak="0">
    <w:nsid w:val="2E912716"/>
    <w:multiLevelType w:val="hybridMultilevel"/>
    <w:tmpl w:val="587A9680"/>
    <w:lvl w:ilvl="0" w:tplc="647C80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3C4FC7"/>
    <w:multiLevelType w:val="hybridMultilevel"/>
    <w:tmpl w:val="B9AA2E18"/>
    <w:lvl w:ilvl="0" w:tplc="00982752">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8763C16"/>
    <w:multiLevelType w:val="hybridMultilevel"/>
    <w:tmpl w:val="D03E80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C10CA1"/>
    <w:multiLevelType w:val="hybridMultilevel"/>
    <w:tmpl w:val="74381A5A"/>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4" w15:restartNumberingAfterBreak="0">
    <w:nsid w:val="39AD6EB5"/>
    <w:multiLevelType w:val="multilevel"/>
    <w:tmpl w:val="DA521056"/>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D0772D9"/>
    <w:multiLevelType w:val="hybridMultilevel"/>
    <w:tmpl w:val="6FEC300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6" w15:restartNumberingAfterBreak="0">
    <w:nsid w:val="3F4E61FB"/>
    <w:multiLevelType w:val="hybridMultilevel"/>
    <w:tmpl w:val="7DEA02D6"/>
    <w:lvl w:ilvl="0" w:tplc="4A00530C">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2CD6825"/>
    <w:multiLevelType w:val="hybridMultilevel"/>
    <w:tmpl w:val="D0609DB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6855B1"/>
    <w:multiLevelType w:val="multilevel"/>
    <w:tmpl w:val="65D4EC2E"/>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27E7170"/>
    <w:multiLevelType w:val="multilevel"/>
    <w:tmpl w:val="859E6656"/>
    <w:lvl w:ilvl="0">
      <w:start w:val="1"/>
      <w:numFmt w:val="decimal"/>
      <w:pStyle w:val="Els-numlist"/>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840"/>
        </w:tabs>
        <w:ind w:left="720" w:hanging="240"/>
      </w:pPr>
    </w:lvl>
    <w:lvl w:ilvl="3">
      <w:start w:val="1"/>
      <w:numFmt w:val="decimal"/>
      <w:lvlText w:val="%1.%2.%3.%4."/>
      <w:lvlJc w:val="left"/>
      <w:pPr>
        <w:tabs>
          <w:tab w:val="num" w:pos="1080"/>
        </w:tabs>
        <w:ind w:left="960" w:hanging="240"/>
      </w:pPr>
    </w:lvl>
    <w:lvl w:ilvl="4">
      <w:start w:val="1"/>
      <w:numFmt w:val="decimal"/>
      <w:lvlText w:val="%1.%2.%3.%4.%5."/>
      <w:lvlJc w:val="left"/>
      <w:pPr>
        <w:tabs>
          <w:tab w:val="num" w:pos="1320"/>
        </w:tabs>
        <w:ind w:left="1200" w:hanging="240"/>
      </w:pPr>
    </w:lvl>
    <w:lvl w:ilvl="5">
      <w:start w:val="1"/>
      <w:numFmt w:val="decimal"/>
      <w:lvlText w:val="%1.%2.%3.%4.%5.%6."/>
      <w:lvlJc w:val="left"/>
      <w:pPr>
        <w:tabs>
          <w:tab w:val="num" w:pos="1560"/>
        </w:tabs>
        <w:ind w:left="1440" w:hanging="240"/>
      </w:pPr>
    </w:lvl>
    <w:lvl w:ilvl="6">
      <w:start w:val="1"/>
      <w:numFmt w:val="decimal"/>
      <w:lvlText w:val="%1.%2.%3.%4.%5.%6.%7."/>
      <w:lvlJc w:val="left"/>
      <w:pPr>
        <w:tabs>
          <w:tab w:val="num" w:pos="1800"/>
        </w:tabs>
        <w:ind w:left="1680" w:hanging="240"/>
      </w:pPr>
    </w:lvl>
    <w:lvl w:ilvl="7">
      <w:start w:val="1"/>
      <w:numFmt w:val="decimal"/>
      <w:lvlText w:val="%1.%2.%3.%4.%5.%6.%7.%8."/>
      <w:lvlJc w:val="left"/>
      <w:pPr>
        <w:tabs>
          <w:tab w:val="num" w:pos="2040"/>
        </w:tabs>
        <w:ind w:left="1920" w:hanging="240"/>
      </w:pPr>
    </w:lvl>
    <w:lvl w:ilvl="8">
      <w:start w:val="1"/>
      <w:numFmt w:val="decimal"/>
      <w:lvlText w:val="%1.%2.%3.%4.%5.%6.%7.%8.%9."/>
      <w:lvlJc w:val="left"/>
      <w:pPr>
        <w:tabs>
          <w:tab w:val="num" w:pos="2280"/>
        </w:tabs>
        <w:ind w:left="2160" w:hanging="240"/>
      </w:pPr>
    </w:lvl>
  </w:abstractNum>
  <w:abstractNum w:abstractNumId="20" w15:restartNumberingAfterBreak="0">
    <w:nsid w:val="53A1184A"/>
    <w:multiLevelType w:val="hybridMultilevel"/>
    <w:tmpl w:val="9C8656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6B56EC"/>
    <w:multiLevelType w:val="hybridMultilevel"/>
    <w:tmpl w:val="A93C00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5EB5CEA"/>
    <w:multiLevelType w:val="multilevel"/>
    <w:tmpl w:val="D89C5544"/>
    <w:lvl w:ilvl="0">
      <w:start w:val="1"/>
      <w:numFmt w:val="none"/>
      <w:suff w:val="space"/>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3" w15:restartNumberingAfterBreak="0">
    <w:nsid w:val="56205803"/>
    <w:multiLevelType w:val="multilevel"/>
    <w:tmpl w:val="3F6EB704"/>
    <w:lvl w:ilvl="0">
      <w:start w:val="1"/>
      <w:numFmt w:val="decimal"/>
      <w:pStyle w:val="Els-1storder-head"/>
      <w:suff w:val="space"/>
      <w:lvlText w:val="%1."/>
      <w:lvlJc w:val="left"/>
      <w:pPr>
        <w:ind w:left="0" w:firstLine="0"/>
      </w:pPr>
      <w:rPr>
        <w:rFonts w:hint="default"/>
        <w:lang w:bidi="th-TH"/>
      </w:rPr>
    </w:lvl>
    <w:lvl w:ilvl="1">
      <w:start w:val="1"/>
      <w:numFmt w:val="decimal"/>
      <w:pStyle w:val="Els-2ndorder-head"/>
      <w:suff w:val="space"/>
      <w:lvlText w:val="%1.%2."/>
      <w:lvlJc w:val="left"/>
      <w:pPr>
        <w:ind w:left="0" w:firstLine="0"/>
      </w:pPr>
      <w:rPr>
        <w:rFonts w:ascii="Cordia New" w:hAnsi="Cordia New" w:cs="Cordia New" w:hint="default"/>
        <w:sz w:val="28"/>
        <w:szCs w:val="28"/>
      </w:rPr>
    </w:lvl>
    <w:lvl w:ilvl="2">
      <w:start w:val="1"/>
      <w:numFmt w:val="decimal"/>
      <w:pStyle w:val="Els-3rdorder-head"/>
      <w:suff w:val="space"/>
      <w:lvlText w:val="%1.%2.%3."/>
      <w:lvlJc w:val="left"/>
      <w:pPr>
        <w:ind w:left="0" w:firstLine="0"/>
      </w:pPr>
      <w:rPr>
        <w:rFonts w:ascii="Cordia New" w:hAnsi="Cordia New" w:cs="Cordia New" w:hint="default"/>
        <w:sz w:val="28"/>
        <w:szCs w:val="28"/>
      </w:rPr>
    </w:lvl>
    <w:lvl w:ilvl="3">
      <w:start w:val="1"/>
      <w:numFmt w:val="decimal"/>
      <w:pStyle w:val="Els-4thorder-head"/>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3.%4.%5.%6.%7.%8.%9."/>
      <w:lvlJc w:val="left"/>
      <w:pPr>
        <w:ind w:left="0" w:firstLine="0"/>
      </w:pPr>
      <w:rPr>
        <w:rFonts w:hint="default"/>
      </w:rPr>
    </w:lvl>
  </w:abstractNum>
  <w:abstractNum w:abstractNumId="24" w15:restartNumberingAfterBreak="0">
    <w:nsid w:val="59EC0AFD"/>
    <w:multiLevelType w:val="multilevel"/>
    <w:tmpl w:val="8B30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334F65"/>
    <w:multiLevelType w:val="hybridMultilevel"/>
    <w:tmpl w:val="F1FAA4C2"/>
    <w:lvl w:ilvl="0" w:tplc="57140AA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27730E"/>
    <w:multiLevelType w:val="hybridMultilevel"/>
    <w:tmpl w:val="4B846718"/>
    <w:lvl w:ilvl="0" w:tplc="79B0B8B4">
      <w:start w:val="1"/>
      <w:numFmt w:val="decimal"/>
      <w:lvlText w:val="[%1]"/>
      <w:lvlJc w:val="left"/>
      <w:pPr>
        <w:ind w:left="7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3761D46">
      <w:start w:val="1"/>
      <w:numFmt w:val="lowerLetter"/>
      <w:lvlText w:val="%2"/>
      <w:lvlJc w:val="left"/>
      <w:pPr>
        <w:ind w:left="11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1107832">
      <w:start w:val="1"/>
      <w:numFmt w:val="lowerRoman"/>
      <w:lvlText w:val="%3"/>
      <w:lvlJc w:val="left"/>
      <w:pPr>
        <w:ind w:left="19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808C490">
      <w:start w:val="1"/>
      <w:numFmt w:val="decimal"/>
      <w:lvlText w:val="%4"/>
      <w:lvlJc w:val="left"/>
      <w:pPr>
        <w:ind w:left="26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690360A">
      <w:start w:val="1"/>
      <w:numFmt w:val="lowerLetter"/>
      <w:lvlText w:val="%5"/>
      <w:lvlJc w:val="left"/>
      <w:pPr>
        <w:ind w:left="33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196B67C">
      <w:start w:val="1"/>
      <w:numFmt w:val="lowerRoman"/>
      <w:lvlText w:val="%6"/>
      <w:lvlJc w:val="left"/>
      <w:pPr>
        <w:ind w:left="40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B98647C">
      <w:start w:val="1"/>
      <w:numFmt w:val="decimal"/>
      <w:lvlText w:val="%7"/>
      <w:lvlJc w:val="left"/>
      <w:pPr>
        <w:ind w:left="47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AAC0828">
      <w:start w:val="1"/>
      <w:numFmt w:val="lowerLetter"/>
      <w:lvlText w:val="%8"/>
      <w:lvlJc w:val="left"/>
      <w:pPr>
        <w:ind w:left="55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F2653F6">
      <w:start w:val="1"/>
      <w:numFmt w:val="lowerRoman"/>
      <w:lvlText w:val="%9"/>
      <w:lvlJc w:val="left"/>
      <w:pPr>
        <w:ind w:left="62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635618F1"/>
    <w:multiLevelType w:val="hybridMultilevel"/>
    <w:tmpl w:val="2264A65E"/>
    <w:lvl w:ilvl="0" w:tplc="647C80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35E5D60"/>
    <w:multiLevelType w:val="hybridMultilevel"/>
    <w:tmpl w:val="DE389C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5971418"/>
    <w:multiLevelType w:val="hybridMultilevel"/>
    <w:tmpl w:val="49B64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89030F2"/>
    <w:multiLevelType w:val="hybridMultilevel"/>
    <w:tmpl w:val="DC88E80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BEC7AB5"/>
    <w:multiLevelType w:val="multilevel"/>
    <w:tmpl w:val="68FAC942"/>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6FF131C4"/>
    <w:multiLevelType w:val="hybridMultilevel"/>
    <w:tmpl w:val="F41EE728"/>
    <w:lvl w:ilvl="0" w:tplc="647C80C8">
      <w:start w:val="1"/>
      <w:numFmt w:val="decimal"/>
      <w:lvlText w:val="[%1]"/>
      <w:lvlJc w:val="left"/>
      <w:pPr>
        <w:ind w:left="2070" w:hanging="36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33" w15:restartNumberingAfterBreak="0">
    <w:nsid w:val="70704E89"/>
    <w:multiLevelType w:val="multilevel"/>
    <w:tmpl w:val="D0B67C70"/>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3"/>
      <w:lvlText w:val="%1.%2.%3."/>
      <w:lvlJc w:val="left"/>
      <w:pPr>
        <w:tabs>
          <w:tab w:val="num" w:pos="720"/>
        </w:tabs>
        <w:ind w:left="720" w:hanging="720"/>
      </w:pPr>
      <w:rPr>
        <w:rFonts w:hint="default"/>
      </w:rPr>
    </w:lvl>
    <w:lvl w:ilvl="3">
      <w:start w:val="1"/>
      <w:numFmt w:val="decimal"/>
      <w:pStyle w:val="4"/>
      <w:lvlText w:val="%1.%2.%3.%4."/>
      <w:lvlJc w:val="left"/>
      <w:pPr>
        <w:tabs>
          <w:tab w:val="num" w:pos="864"/>
        </w:tabs>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none"/>
      <w:pStyle w:val="5"/>
      <w:lvlText w:val="RECOMMENDATION: "/>
      <w:lvlJc w:val="left"/>
      <w:pPr>
        <w:tabs>
          <w:tab w:val="num" w:pos="0"/>
        </w:tabs>
        <w:ind w:left="0" w:firstLine="0"/>
      </w:pPr>
      <w:rPr>
        <w:rFonts w:hint="default"/>
        <w:b w:val="0"/>
        <w:i/>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34" w15:restartNumberingAfterBreak="0">
    <w:nsid w:val="7955799B"/>
    <w:multiLevelType w:val="multilevel"/>
    <w:tmpl w:val="A96E5ED2"/>
    <w:lvl w:ilvl="0">
      <w:start w:val="1"/>
      <w:numFmt w:val="decimal"/>
      <w:lvlText w:val="%1."/>
      <w:lvlJc w:val="left"/>
      <w:pPr>
        <w:tabs>
          <w:tab w:val="num" w:pos="360"/>
        </w:tabs>
        <w:ind w:left="240" w:hanging="240"/>
      </w:pPr>
      <w:rPr>
        <w:rFonts w:ascii="Cordia New" w:hAnsi="Cordia New" w:cs="Cordia New" w:hint="default"/>
        <w:sz w:val="28"/>
        <w:szCs w:val="28"/>
      </w:rPr>
    </w:lvl>
    <w:lvl w:ilvl="1">
      <w:start w:val="1"/>
      <w:numFmt w:val="decimal"/>
      <w:lvlText w:val="%1.%2."/>
      <w:lvlJc w:val="left"/>
      <w:pPr>
        <w:tabs>
          <w:tab w:val="num" w:pos="600"/>
        </w:tabs>
        <w:ind w:left="480" w:hanging="240"/>
      </w:pPr>
      <w:rPr>
        <w:rFonts w:ascii="Cordia New" w:hAnsi="Cordia New" w:cs="Cordia New" w:hint="default"/>
        <w:sz w:val="28"/>
        <w:szCs w:val="28"/>
      </w:rPr>
    </w:lvl>
    <w:lvl w:ilvl="2">
      <w:start w:val="1"/>
      <w:numFmt w:val="decimal"/>
      <w:lvlText w:val="%1.%2.%3."/>
      <w:lvlJc w:val="left"/>
      <w:pPr>
        <w:tabs>
          <w:tab w:val="num" w:pos="1200"/>
        </w:tabs>
        <w:ind w:left="720" w:hanging="240"/>
      </w:pPr>
      <w:rPr>
        <w:rFonts w:hint="default"/>
      </w:rPr>
    </w:lvl>
    <w:lvl w:ilvl="3">
      <w:start w:val="1"/>
      <w:numFmt w:val="decimal"/>
      <w:lvlText w:val="%1.%2.%3.%4."/>
      <w:lvlJc w:val="left"/>
      <w:pPr>
        <w:tabs>
          <w:tab w:val="num" w:pos="1440"/>
        </w:tabs>
        <w:ind w:left="960" w:hanging="240"/>
      </w:pPr>
      <w:rPr>
        <w:rFonts w:hint="default"/>
      </w:rPr>
    </w:lvl>
    <w:lvl w:ilvl="4">
      <w:start w:val="1"/>
      <w:numFmt w:val="decimal"/>
      <w:lvlText w:val="%1.%2.%3.%4.%5."/>
      <w:lvlJc w:val="left"/>
      <w:pPr>
        <w:tabs>
          <w:tab w:val="num" w:pos="2040"/>
        </w:tabs>
        <w:ind w:left="1200" w:hanging="240"/>
      </w:pPr>
      <w:rPr>
        <w:rFonts w:hint="default"/>
      </w:rPr>
    </w:lvl>
    <w:lvl w:ilvl="5">
      <w:start w:val="1"/>
      <w:numFmt w:val="decimal"/>
      <w:lvlText w:val="%1.%2.%3.%4.%5.%6."/>
      <w:lvlJc w:val="left"/>
      <w:pPr>
        <w:tabs>
          <w:tab w:val="num" w:pos="2280"/>
        </w:tabs>
        <w:ind w:left="1440" w:hanging="240"/>
      </w:pPr>
      <w:rPr>
        <w:rFonts w:hint="default"/>
      </w:rPr>
    </w:lvl>
    <w:lvl w:ilvl="6">
      <w:start w:val="1"/>
      <w:numFmt w:val="decimal"/>
      <w:lvlText w:val="%1.%2.%3.%4.%5.%6.%7."/>
      <w:lvlJc w:val="left"/>
      <w:pPr>
        <w:tabs>
          <w:tab w:val="num" w:pos="2520"/>
        </w:tabs>
        <w:ind w:left="1680" w:hanging="240"/>
      </w:pPr>
      <w:rPr>
        <w:rFonts w:hint="default"/>
      </w:rPr>
    </w:lvl>
    <w:lvl w:ilvl="7">
      <w:start w:val="1"/>
      <w:numFmt w:val="decimal"/>
      <w:lvlText w:val="%1.%2.%3.%4.%5.%6.%7.%8."/>
      <w:lvlJc w:val="left"/>
      <w:pPr>
        <w:tabs>
          <w:tab w:val="num" w:pos="3120"/>
        </w:tabs>
        <w:ind w:left="1920" w:hanging="240"/>
      </w:pPr>
      <w:rPr>
        <w:rFonts w:hint="default"/>
      </w:rPr>
    </w:lvl>
    <w:lvl w:ilvl="8">
      <w:start w:val="1"/>
      <w:numFmt w:val="decimal"/>
      <w:lvlText w:val="%1..%3.%4.%5.%6.%7.%8.%9."/>
      <w:lvlJc w:val="left"/>
      <w:pPr>
        <w:tabs>
          <w:tab w:val="num" w:pos="3360"/>
        </w:tabs>
        <w:ind w:left="2160" w:hanging="240"/>
      </w:pPr>
      <w:rPr>
        <w:rFonts w:hint="default"/>
      </w:rPr>
    </w:lvl>
  </w:abstractNum>
  <w:abstractNum w:abstractNumId="35" w15:restartNumberingAfterBreak="0">
    <w:nsid w:val="7D7259AC"/>
    <w:multiLevelType w:val="hybridMultilevel"/>
    <w:tmpl w:val="CECAA638"/>
    <w:lvl w:ilvl="0" w:tplc="C6D0BC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DDD5F43"/>
    <w:multiLevelType w:val="multilevel"/>
    <w:tmpl w:val="F4669266"/>
    <w:lvl w:ilvl="0">
      <w:start w:val="1"/>
      <w:numFmt w:val="decimal"/>
      <w:lvlText w:val="%1."/>
      <w:lvlJc w:val="left"/>
      <w:pPr>
        <w:tabs>
          <w:tab w:val="num" w:pos="360"/>
        </w:tabs>
        <w:ind w:left="240" w:hanging="240"/>
      </w:pPr>
      <w:rPr>
        <w:rFonts w:ascii="Cordia New" w:hAnsi="Cordia New" w:cs="Cordia New" w:hint="default"/>
        <w:sz w:val="28"/>
        <w:szCs w:val="28"/>
      </w:rPr>
    </w:lvl>
    <w:lvl w:ilvl="1">
      <w:start w:val="1"/>
      <w:numFmt w:val="decimal"/>
      <w:lvlText w:val="%1.%2."/>
      <w:lvlJc w:val="left"/>
      <w:pPr>
        <w:tabs>
          <w:tab w:val="num" w:pos="600"/>
        </w:tabs>
        <w:ind w:left="480" w:hanging="240"/>
      </w:pPr>
      <w:rPr>
        <w:rFonts w:ascii="Cordia New" w:hAnsi="Cordia New" w:cs="Cordia New" w:hint="default"/>
        <w:sz w:val="28"/>
        <w:szCs w:val="28"/>
      </w:rPr>
    </w:lvl>
    <w:lvl w:ilvl="2">
      <w:start w:val="1"/>
      <w:numFmt w:val="decimal"/>
      <w:lvlText w:val="%1.%2.%3."/>
      <w:lvlJc w:val="left"/>
      <w:pPr>
        <w:tabs>
          <w:tab w:val="num" w:pos="1200"/>
        </w:tabs>
        <w:ind w:left="720" w:hanging="240"/>
      </w:pPr>
      <w:rPr>
        <w:rFonts w:hint="default"/>
      </w:rPr>
    </w:lvl>
    <w:lvl w:ilvl="3">
      <w:start w:val="1"/>
      <w:numFmt w:val="decimal"/>
      <w:lvlText w:val="%1.%2.%3.%4."/>
      <w:lvlJc w:val="left"/>
      <w:pPr>
        <w:tabs>
          <w:tab w:val="num" w:pos="1440"/>
        </w:tabs>
        <w:ind w:left="960" w:hanging="240"/>
      </w:pPr>
      <w:rPr>
        <w:rFonts w:hint="default"/>
      </w:rPr>
    </w:lvl>
    <w:lvl w:ilvl="4">
      <w:start w:val="1"/>
      <w:numFmt w:val="decimal"/>
      <w:lvlText w:val="%1.%2.%3.%4.%5."/>
      <w:lvlJc w:val="left"/>
      <w:pPr>
        <w:tabs>
          <w:tab w:val="num" w:pos="2040"/>
        </w:tabs>
        <w:ind w:left="1200" w:hanging="240"/>
      </w:pPr>
      <w:rPr>
        <w:rFonts w:hint="default"/>
      </w:rPr>
    </w:lvl>
    <w:lvl w:ilvl="5">
      <w:start w:val="1"/>
      <w:numFmt w:val="decimal"/>
      <w:lvlText w:val="%1.%2.%3.%4.%5.%6."/>
      <w:lvlJc w:val="left"/>
      <w:pPr>
        <w:tabs>
          <w:tab w:val="num" w:pos="2280"/>
        </w:tabs>
        <w:ind w:left="1440" w:hanging="240"/>
      </w:pPr>
      <w:rPr>
        <w:rFonts w:hint="default"/>
      </w:rPr>
    </w:lvl>
    <w:lvl w:ilvl="6">
      <w:start w:val="1"/>
      <w:numFmt w:val="decimal"/>
      <w:lvlText w:val="%1.%2.%3.%4.%5.%6.%7."/>
      <w:lvlJc w:val="left"/>
      <w:pPr>
        <w:tabs>
          <w:tab w:val="num" w:pos="2520"/>
        </w:tabs>
        <w:ind w:left="1680" w:hanging="240"/>
      </w:pPr>
      <w:rPr>
        <w:rFonts w:hint="default"/>
      </w:rPr>
    </w:lvl>
    <w:lvl w:ilvl="7">
      <w:start w:val="1"/>
      <w:numFmt w:val="decimal"/>
      <w:lvlText w:val="%1.%2.%3.%4.%5.%6.%7.%8."/>
      <w:lvlJc w:val="left"/>
      <w:pPr>
        <w:tabs>
          <w:tab w:val="num" w:pos="3120"/>
        </w:tabs>
        <w:ind w:left="1920" w:hanging="240"/>
      </w:pPr>
      <w:rPr>
        <w:rFonts w:hint="default"/>
      </w:rPr>
    </w:lvl>
    <w:lvl w:ilvl="8">
      <w:start w:val="1"/>
      <w:numFmt w:val="decimal"/>
      <w:lvlText w:val="%1..%3.%4.%5.%6.%7.%8.%9."/>
      <w:lvlJc w:val="left"/>
      <w:pPr>
        <w:tabs>
          <w:tab w:val="num" w:pos="3360"/>
        </w:tabs>
        <w:ind w:left="2160" w:hanging="240"/>
      </w:pPr>
      <w:rPr>
        <w:rFonts w:hint="default"/>
      </w:rPr>
    </w:lvl>
  </w:abstractNum>
  <w:num w:numId="1" w16cid:durableId="1983197149">
    <w:abstractNumId w:val="23"/>
  </w:num>
  <w:num w:numId="2" w16cid:durableId="2023312995">
    <w:abstractNumId w:val="19"/>
  </w:num>
  <w:num w:numId="3" w16cid:durableId="1788697111">
    <w:abstractNumId w:val="36"/>
  </w:num>
  <w:num w:numId="4" w16cid:durableId="616911710">
    <w:abstractNumId w:val="31"/>
  </w:num>
  <w:num w:numId="5" w16cid:durableId="1622103233">
    <w:abstractNumId w:val="14"/>
  </w:num>
  <w:num w:numId="6" w16cid:durableId="1835028732">
    <w:abstractNumId w:val="18"/>
  </w:num>
  <w:num w:numId="7" w16cid:durableId="1782139443">
    <w:abstractNumId w:val="34"/>
  </w:num>
  <w:num w:numId="8" w16cid:durableId="525027144">
    <w:abstractNumId w:val="25"/>
  </w:num>
  <w:num w:numId="9" w16cid:durableId="450830837">
    <w:abstractNumId w:val="19"/>
  </w:num>
  <w:num w:numId="10" w16cid:durableId="794718014">
    <w:abstractNumId w:val="8"/>
  </w:num>
  <w:num w:numId="11" w16cid:durableId="1339111902">
    <w:abstractNumId w:val="9"/>
  </w:num>
  <w:num w:numId="12" w16cid:durableId="1821769869">
    <w:abstractNumId w:val="17"/>
  </w:num>
  <w:num w:numId="13" w16cid:durableId="953708914">
    <w:abstractNumId w:val="28"/>
  </w:num>
  <w:num w:numId="14" w16cid:durableId="2111773352">
    <w:abstractNumId w:val="12"/>
  </w:num>
  <w:num w:numId="15" w16cid:durableId="74863164">
    <w:abstractNumId w:val="0"/>
  </w:num>
  <w:num w:numId="16" w16cid:durableId="1158887510">
    <w:abstractNumId w:val="33"/>
  </w:num>
  <w:num w:numId="17" w16cid:durableId="904529895">
    <w:abstractNumId w:val="20"/>
  </w:num>
  <w:num w:numId="18" w16cid:durableId="1098873344">
    <w:abstractNumId w:val="11"/>
  </w:num>
  <w:num w:numId="19" w16cid:durableId="774325207">
    <w:abstractNumId w:val="2"/>
  </w:num>
  <w:num w:numId="20" w16cid:durableId="234360154">
    <w:abstractNumId w:val="1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84204134">
    <w:abstractNumId w:val="16"/>
  </w:num>
  <w:num w:numId="22" w16cid:durableId="1201946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67494562">
    <w:abstractNumId w:val="5"/>
  </w:num>
  <w:num w:numId="24" w16cid:durableId="680738917">
    <w:abstractNumId w:val="30"/>
  </w:num>
  <w:num w:numId="25" w16cid:durableId="420684477">
    <w:abstractNumId w:val="1"/>
  </w:num>
  <w:num w:numId="26" w16cid:durableId="1909726702">
    <w:abstractNumId w:val="10"/>
  </w:num>
  <w:num w:numId="27" w16cid:durableId="813181994">
    <w:abstractNumId w:val="35"/>
  </w:num>
  <w:num w:numId="28" w16cid:durableId="61217374">
    <w:abstractNumId w:val="21"/>
  </w:num>
  <w:num w:numId="29" w16cid:durableId="1691058130">
    <w:abstractNumId w:val="27"/>
  </w:num>
  <w:num w:numId="30" w16cid:durableId="280231963">
    <w:abstractNumId w:val="29"/>
  </w:num>
  <w:num w:numId="31" w16cid:durableId="1090929608">
    <w:abstractNumId w:val="32"/>
  </w:num>
  <w:num w:numId="32" w16cid:durableId="866330967">
    <w:abstractNumId w:val="4"/>
  </w:num>
  <w:num w:numId="33" w16cid:durableId="133834387">
    <w:abstractNumId w:val="3"/>
  </w:num>
  <w:num w:numId="34" w16cid:durableId="170340413">
    <w:abstractNumId w:val="26"/>
  </w:num>
  <w:num w:numId="35" w16cid:durableId="1234587620">
    <w:abstractNumId w:val="6"/>
  </w:num>
  <w:num w:numId="36" w16cid:durableId="1542594982">
    <w:abstractNumId w:val="13"/>
  </w:num>
  <w:num w:numId="37" w16cid:durableId="736900069">
    <w:abstractNumId w:val="22"/>
  </w:num>
  <w:num w:numId="38" w16cid:durableId="106891430">
    <w:abstractNumId w:val="33"/>
  </w:num>
  <w:num w:numId="39" w16cid:durableId="1640845007">
    <w:abstractNumId w:val="7"/>
  </w:num>
  <w:num w:numId="40" w16cid:durableId="169588192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evenAndOddHeaders/>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MxtTAwMDUyNTQ1NDJT0lEKTi0uzszPAykwrAUA4oGMhiwAAAA="/>
  </w:docVars>
  <w:rsids>
    <w:rsidRoot w:val="00C46F10"/>
    <w:rsid w:val="0000136A"/>
    <w:rsid w:val="000015DA"/>
    <w:rsid w:val="0000192C"/>
    <w:rsid w:val="000043BD"/>
    <w:rsid w:val="00004F17"/>
    <w:rsid w:val="00004FE5"/>
    <w:rsid w:val="0000661F"/>
    <w:rsid w:val="00006FEE"/>
    <w:rsid w:val="00010B38"/>
    <w:rsid w:val="00014369"/>
    <w:rsid w:val="00015871"/>
    <w:rsid w:val="0002067B"/>
    <w:rsid w:val="00020DEA"/>
    <w:rsid w:val="000237D5"/>
    <w:rsid w:val="00023B3D"/>
    <w:rsid w:val="00024F33"/>
    <w:rsid w:val="00026253"/>
    <w:rsid w:val="000262B8"/>
    <w:rsid w:val="00026516"/>
    <w:rsid w:val="00027206"/>
    <w:rsid w:val="00027E19"/>
    <w:rsid w:val="00027E1D"/>
    <w:rsid w:val="000308D2"/>
    <w:rsid w:val="0003336B"/>
    <w:rsid w:val="0003612C"/>
    <w:rsid w:val="000409DC"/>
    <w:rsid w:val="00041779"/>
    <w:rsid w:val="0004243F"/>
    <w:rsid w:val="00044FFC"/>
    <w:rsid w:val="00046CD8"/>
    <w:rsid w:val="00050169"/>
    <w:rsid w:val="00050FAB"/>
    <w:rsid w:val="0006164D"/>
    <w:rsid w:val="000625E3"/>
    <w:rsid w:val="00062CB6"/>
    <w:rsid w:val="00064425"/>
    <w:rsid w:val="00064B86"/>
    <w:rsid w:val="0006657A"/>
    <w:rsid w:val="00067FD9"/>
    <w:rsid w:val="00072128"/>
    <w:rsid w:val="00072EB8"/>
    <w:rsid w:val="00073F93"/>
    <w:rsid w:val="000748C3"/>
    <w:rsid w:val="0007732F"/>
    <w:rsid w:val="00080E91"/>
    <w:rsid w:val="00082ED4"/>
    <w:rsid w:val="000834BE"/>
    <w:rsid w:val="000838F5"/>
    <w:rsid w:val="000849B6"/>
    <w:rsid w:val="00084C10"/>
    <w:rsid w:val="00084F32"/>
    <w:rsid w:val="00087BD7"/>
    <w:rsid w:val="00090691"/>
    <w:rsid w:val="0009154E"/>
    <w:rsid w:val="00095EFC"/>
    <w:rsid w:val="00096950"/>
    <w:rsid w:val="0009698B"/>
    <w:rsid w:val="000A2A02"/>
    <w:rsid w:val="000A3E63"/>
    <w:rsid w:val="000A57F8"/>
    <w:rsid w:val="000A6C86"/>
    <w:rsid w:val="000A7D55"/>
    <w:rsid w:val="000B20B9"/>
    <w:rsid w:val="000B424E"/>
    <w:rsid w:val="000B4C87"/>
    <w:rsid w:val="000B61A3"/>
    <w:rsid w:val="000B6B05"/>
    <w:rsid w:val="000B708A"/>
    <w:rsid w:val="000B7CDA"/>
    <w:rsid w:val="000C1AFD"/>
    <w:rsid w:val="000C340C"/>
    <w:rsid w:val="000C4010"/>
    <w:rsid w:val="000C536D"/>
    <w:rsid w:val="000C6D0C"/>
    <w:rsid w:val="000C74BB"/>
    <w:rsid w:val="000D0820"/>
    <w:rsid w:val="000D15E0"/>
    <w:rsid w:val="000D1FB4"/>
    <w:rsid w:val="000D3298"/>
    <w:rsid w:val="000D44A9"/>
    <w:rsid w:val="000D46D6"/>
    <w:rsid w:val="000D49A1"/>
    <w:rsid w:val="000D6F28"/>
    <w:rsid w:val="000E159E"/>
    <w:rsid w:val="000E5F20"/>
    <w:rsid w:val="000F037E"/>
    <w:rsid w:val="000F1805"/>
    <w:rsid w:val="000F1E40"/>
    <w:rsid w:val="000F49A5"/>
    <w:rsid w:val="000F54D1"/>
    <w:rsid w:val="000F716C"/>
    <w:rsid w:val="001009B7"/>
    <w:rsid w:val="00102FB0"/>
    <w:rsid w:val="00106648"/>
    <w:rsid w:val="00107C32"/>
    <w:rsid w:val="001106C7"/>
    <w:rsid w:val="001111F6"/>
    <w:rsid w:val="00111DE8"/>
    <w:rsid w:val="001126F2"/>
    <w:rsid w:val="001132FE"/>
    <w:rsid w:val="00113CAF"/>
    <w:rsid w:val="0011583C"/>
    <w:rsid w:val="001162F7"/>
    <w:rsid w:val="0011658E"/>
    <w:rsid w:val="00116753"/>
    <w:rsid w:val="00117E64"/>
    <w:rsid w:val="0012153F"/>
    <w:rsid w:val="00121BB9"/>
    <w:rsid w:val="0012272D"/>
    <w:rsid w:val="00124015"/>
    <w:rsid w:val="00125812"/>
    <w:rsid w:val="001260EB"/>
    <w:rsid w:val="0013157D"/>
    <w:rsid w:val="00133497"/>
    <w:rsid w:val="001337AB"/>
    <w:rsid w:val="00135316"/>
    <w:rsid w:val="0013654C"/>
    <w:rsid w:val="0013738C"/>
    <w:rsid w:val="0013753B"/>
    <w:rsid w:val="00140970"/>
    <w:rsid w:val="0014275D"/>
    <w:rsid w:val="00145FD6"/>
    <w:rsid w:val="001519A7"/>
    <w:rsid w:val="001548E0"/>
    <w:rsid w:val="001554BB"/>
    <w:rsid w:val="0016002F"/>
    <w:rsid w:val="00160290"/>
    <w:rsid w:val="001630B6"/>
    <w:rsid w:val="00163DE1"/>
    <w:rsid w:val="00165992"/>
    <w:rsid w:val="0016685B"/>
    <w:rsid w:val="00167442"/>
    <w:rsid w:val="00172D78"/>
    <w:rsid w:val="00173DEF"/>
    <w:rsid w:val="00175CCB"/>
    <w:rsid w:val="001800A6"/>
    <w:rsid w:val="00180D0D"/>
    <w:rsid w:val="0018288C"/>
    <w:rsid w:val="00182BDB"/>
    <w:rsid w:val="001858CB"/>
    <w:rsid w:val="0018684B"/>
    <w:rsid w:val="001874A5"/>
    <w:rsid w:val="00187809"/>
    <w:rsid w:val="0019017A"/>
    <w:rsid w:val="0019113A"/>
    <w:rsid w:val="00192333"/>
    <w:rsid w:val="001927CE"/>
    <w:rsid w:val="00192A89"/>
    <w:rsid w:val="001935A7"/>
    <w:rsid w:val="00195735"/>
    <w:rsid w:val="00197969"/>
    <w:rsid w:val="00197EE2"/>
    <w:rsid w:val="001A029A"/>
    <w:rsid w:val="001A0CBC"/>
    <w:rsid w:val="001A0F6D"/>
    <w:rsid w:val="001A2DBB"/>
    <w:rsid w:val="001A38A3"/>
    <w:rsid w:val="001A3B87"/>
    <w:rsid w:val="001A5405"/>
    <w:rsid w:val="001A5AC7"/>
    <w:rsid w:val="001A6C44"/>
    <w:rsid w:val="001B12BE"/>
    <w:rsid w:val="001B2C31"/>
    <w:rsid w:val="001B3325"/>
    <w:rsid w:val="001B5263"/>
    <w:rsid w:val="001B5BA5"/>
    <w:rsid w:val="001B5D81"/>
    <w:rsid w:val="001B7D41"/>
    <w:rsid w:val="001C0EED"/>
    <w:rsid w:val="001C6324"/>
    <w:rsid w:val="001C691B"/>
    <w:rsid w:val="001C70C6"/>
    <w:rsid w:val="001C731C"/>
    <w:rsid w:val="001C7BEC"/>
    <w:rsid w:val="001C7F48"/>
    <w:rsid w:val="001D19B8"/>
    <w:rsid w:val="001D299F"/>
    <w:rsid w:val="001D38EE"/>
    <w:rsid w:val="001D5551"/>
    <w:rsid w:val="001D5CF0"/>
    <w:rsid w:val="001E7CF6"/>
    <w:rsid w:val="001F0DB1"/>
    <w:rsid w:val="001F0FA0"/>
    <w:rsid w:val="001F3492"/>
    <w:rsid w:val="001F3817"/>
    <w:rsid w:val="001F5D09"/>
    <w:rsid w:val="001F5DFF"/>
    <w:rsid w:val="001F696C"/>
    <w:rsid w:val="001F7201"/>
    <w:rsid w:val="002008E1"/>
    <w:rsid w:val="00200FD6"/>
    <w:rsid w:val="00202AA7"/>
    <w:rsid w:val="002068F2"/>
    <w:rsid w:val="00207882"/>
    <w:rsid w:val="002102C2"/>
    <w:rsid w:val="00215BC9"/>
    <w:rsid w:val="0021679A"/>
    <w:rsid w:val="00216E3C"/>
    <w:rsid w:val="00216F04"/>
    <w:rsid w:val="002178C2"/>
    <w:rsid w:val="00221155"/>
    <w:rsid w:val="00222340"/>
    <w:rsid w:val="00225E4E"/>
    <w:rsid w:val="00226E25"/>
    <w:rsid w:val="00231E1B"/>
    <w:rsid w:val="002354D3"/>
    <w:rsid w:val="00236A97"/>
    <w:rsid w:val="00237FC9"/>
    <w:rsid w:val="002420F5"/>
    <w:rsid w:val="00242957"/>
    <w:rsid w:val="0024393B"/>
    <w:rsid w:val="0024588B"/>
    <w:rsid w:val="00245B7F"/>
    <w:rsid w:val="00246BEE"/>
    <w:rsid w:val="00246CBA"/>
    <w:rsid w:val="002472EF"/>
    <w:rsid w:val="00247F22"/>
    <w:rsid w:val="00252C84"/>
    <w:rsid w:val="00254CB6"/>
    <w:rsid w:val="002551DA"/>
    <w:rsid w:val="002556DF"/>
    <w:rsid w:val="00255C04"/>
    <w:rsid w:val="00256719"/>
    <w:rsid w:val="002572AD"/>
    <w:rsid w:val="002652B9"/>
    <w:rsid w:val="002661B9"/>
    <w:rsid w:val="0027076B"/>
    <w:rsid w:val="00273E70"/>
    <w:rsid w:val="00274F02"/>
    <w:rsid w:val="00275E17"/>
    <w:rsid w:val="0027661F"/>
    <w:rsid w:val="00280F42"/>
    <w:rsid w:val="002866A3"/>
    <w:rsid w:val="0028717C"/>
    <w:rsid w:val="002879F9"/>
    <w:rsid w:val="00287F84"/>
    <w:rsid w:val="00290A5D"/>
    <w:rsid w:val="002911F6"/>
    <w:rsid w:val="00291312"/>
    <w:rsid w:val="002928FB"/>
    <w:rsid w:val="00292931"/>
    <w:rsid w:val="00293272"/>
    <w:rsid w:val="0029399D"/>
    <w:rsid w:val="002950DE"/>
    <w:rsid w:val="00296702"/>
    <w:rsid w:val="002975F6"/>
    <w:rsid w:val="00297C52"/>
    <w:rsid w:val="002A0772"/>
    <w:rsid w:val="002A3A7C"/>
    <w:rsid w:val="002A4052"/>
    <w:rsid w:val="002A4077"/>
    <w:rsid w:val="002B0004"/>
    <w:rsid w:val="002B0821"/>
    <w:rsid w:val="002B1B91"/>
    <w:rsid w:val="002B5EC0"/>
    <w:rsid w:val="002B5F19"/>
    <w:rsid w:val="002B68CA"/>
    <w:rsid w:val="002B7A9C"/>
    <w:rsid w:val="002B7C9B"/>
    <w:rsid w:val="002C0FA8"/>
    <w:rsid w:val="002C4150"/>
    <w:rsid w:val="002C543A"/>
    <w:rsid w:val="002C61B9"/>
    <w:rsid w:val="002C6B04"/>
    <w:rsid w:val="002D0A6E"/>
    <w:rsid w:val="002D2FEE"/>
    <w:rsid w:val="002D5336"/>
    <w:rsid w:val="002E01C2"/>
    <w:rsid w:val="002E05FF"/>
    <w:rsid w:val="002E10B3"/>
    <w:rsid w:val="002E1F3B"/>
    <w:rsid w:val="002E3D2B"/>
    <w:rsid w:val="002E3D9B"/>
    <w:rsid w:val="002E4256"/>
    <w:rsid w:val="002E56C6"/>
    <w:rsid w:val="002E5B2F"/>
    <w:rsid w:val="002E752D"/>
    <w:rsid w:val="002E7D7D"/>
    <w:rsid w:val="002F1953"/>
    <w:rsid w:val="002F1EC2"/>
    <w:rsid w:val="002F28A0"/>
    <w:rsid w:val="002F399C"/>
    <w:rsid w:val="002F4C0E"/>
    <w:rsid w:val="003000CB"/>
    <w:rsid w:val="00305715"/>
    <w:rsid w:val="003058F8"/>
    <w:rsid w:val="00307DEB"/>
    <w:rsid w:val="00310420"/>
    <w:rsid w:val="00311742"/>
    <w:rsid w:val="00312BB9"/>
    <w:rsid w:val="00315246"/>
    <w:rsid w:val="00315BB3"/>
    <w:rsid w:val="00316E61"/>
    <w:rsid w:val="00317541"/>
    <w:rsid w:val="003179A6"/>
    <w:rsid w:val="00320CB6"/>
    <w:rsid w:val="00322E19"/>
    <w:rsid w:val="00322EA1"/>
    <w:rsid w:val="00322F09"/>
    <w:rsid w:val="003264C3"/>
    <w:rsid w:val="00330D64"/>
    <w:rsid w:val="00332FC3"/>
    <w:rsid w:val="00334108"/>
    <w:rsid w:val="0033744B"/>
    <w:rsid w:val="003374E1"/>
    <w:rsid w:val="00340893"/>
    <w:rsid w:val="00340B2F"/>
    <w:rsid w:val="003413CF"/>
    <w:rsid w:val="00342F45"/>
    <w:rsid w:val="00342FE7"/>
    <w:rsid w:val="00343060"/>
    <w:rsid w:val="00343215"/>
    <w:rsid w:val="003477B2"/>
    <w:rsid w:val="003505D2"/>
    <w:rsid w:val="00351ADD"/>
    <w:rsid w:val="00351F98"/>
    <w:rsid w:val="003526A0"/>
    <w:rsid w:val="00354527"/>
    <w:rsid w:val="00356167"/>
    <w:rsid w:val="00356A08"/>
    <w:rsid w:val="0035713D"/>
    <w:rsid w:val="00362B76"/>
    <w:rsid w:val="00364791"/>
    <w:rsid w:val="0036522D"/>
    <w:rsid w:val="00371139"/>
    <w:rsid w:val="00371ECA"/>
    <w:rsid w:val="003724E1"/>
    <w:rsid w:val="0037460E"/>
    <w:rsid w:val="00375C6A"/>
    <w:rsid w:val="003760EB"/>
    <w:rsid w:val="00376B98"/>
    <w:rsid w:val="0038015D"/>
    <w:rsid w:val="003804B6"/>
    <w:rsid w:val="00380FE1"/>
    <w:rsid w:val="00381D7D"/>
    <w:rsid w:val="003842E0"/>
    <w:rsid w:val="003859A9"/>
    <w:rsid w:val="00385F47"/>
    <w:rsid w:val="00386320"/>
    <w:rsid w:val="00386B33"/>
    <w:rsid w:val="00386BB5"/>
    <w:rsid w:val="003874B6"/>
    <w:rsid w:val="00392682"/>
    <w:rsid w:val="00393256"/>
    <w:rsid w:val="00393E10"/>
    <w:rsid w:val="00396CA5"/>
    <w:rsid w:val="003A1250"/>
    <w:rsid w:val="003A3444"/>
    <w:rsid w:val="003A3C56"/>
    <w:rsid w:val="003A4F36"/>
    <w:rsid w:val="003A50E1"/>
    <w:rsid w:val="003A7A7E"/>
    <w:rsid w:val="003B08C2"/>
    <w:rsid w:val="003B5258"/>
    <w:rsid w:val="003C3987"/>
    <w:rsid w:val="003C46E5"/>
    <w:rsid w:val="003C6074"/>
    <w:rsid w:val="003C743D"/>
    <w:rsid w:val="003D0A5F"/>
    <w:rsid w:val="003D10AC"/>
    <w:rsid w:val="003D15E7"/>
    <w:rsid w:val="003D52E1"/>
    <w:rsid w:val="003D63C9"/>
    <w:rsid w:val="003D66BF"/>
    <w:rsid w:val="003D7A62"/>
    <w:rsid w:val="003D7DC2"/>
    <w:rsid w:val="003E0C5A"/>
    <w:rsid w:val="003E1AF9"/>
    <w:rsid w:val="003E5A80"/>
    <w:rsid w:val="003E626A"/>
    <w:rsid w:val="003E62C2"/>
    <w:rsid w:val="003E78C1"/>
    <w:rsid w:val="003F0386"/>
    <w:rsid w:val="003F2472"/>
    <w:rsid w:val="003F4B9E"/>
    <w:rsid w:val="003F530A"/>
    <w:rsid w:val="004102D2"/>
    <w:rsid w:val="0041033A"/>
    <w:rsid w:val="00411994"/>
    <w:rsid w:val="0041419A"/>
    <w:rsid w:val="0041450A"/>
    <w:rsid w:val="0041642B"/>
    <w:rsid w:val="00420228"/>
    <w:rsid w:val="00421505"/>
    <w:rsid w:val="0042172B"/>
    <w:rsid w:val="00423792"/>
    <w:rsid w:val="004248E0"/>
    <w:rsid w:val="0042501A"/>
    <w:rsid w:val="00425B7D"/>
    <w:rsid w:val="004342F9"/>
    <w:rsid w:val="00434B6B"/>
    <w:rsid w:val="004352CB"/>
    <w:rsid w:val="00435F99"/>
    <w:rsid w:val="004361ED"/>
    <w:rsid w:val="004372EA"/>
    <w:rsid w:val="004419FF"/>
    <w:rsid w:val="0044232E"/>
    <w:rsid w:val="00443F64"/>
    <w:rsid w:val="0044472E"/>
    <w:rsid w:val="00445DA5"/>
    <w:rsid w:val="004461D5"/>
    <w:rsid w:val="00447051"/>
    <w:rsid w:val="00451238"/>
    <w:rsid w:val="0045198E"/>
    <w:rsid w:val="0045348B"/>
    <w:rsid w:val="00453B0D"/>
    <w:rsid w:val="0045556F"/>
    <w:rsid w:val="004558FE"/>
    <w:rsid w:val="00455CF7"/>
    <w:rsid w:val="0045750F"/>
    <w:rsid w:val="00457934"/>
    <w:rsid w:val="0045796A"/>
    <w:rsid w:val="00460806"/>
    <w:rsid w:val="00460AB4"/>
    <w:rsid w:val="00460B7E"/>
    <w:rsid w:val="00465539"/>
    <w:rsid w:val="004668C7"/>
    <w:rsid w:val="00466CA2"/>
    <w:rsid w:val="00466DA3"/>
    <w:rsid w:val="00467EA0"/>
    <w:rsid w:val="00472A03"/>
    <w:rsid w:val="00475AD3"/>
    <w:rsid w:val="004778D6"/>
    <w:rsid w:val="00480B23"/>
    <w:rsid w:val="0048114F"/>
    <w:rsid w:val="00481D65"/>
    <w:rsid w:val="004841EA"/>
    <w:rsid w:val="004846C6"/>
    <w:rsid w:val="00485A30"/>
    <w:rsid w:val="00485D79"/>
    <w:rsid w:val="00486738"/>
    <w:rsid w:val="00490171"/>
    <w:rsid w:val="004921AC"/>
    <w:rsid w:val="0049236E"/>
    <w:rsid w:val="00494BD1"/>
    <w:rsid w:val="00496596"/>
    <w:rsid w:val="0049696A"/>
    <w:rsid w:val="004A1811"/>
    <w:rsid w:val="004B5403"/>
    <w:rsid w:val="004C265A"/>
    <w:rsid w:val="004C2E8B"/>
    <w:rsid w:val="004C3AC2"/>
    <w:rsid w:val="004C3E17"/>
    <w:rsid w:val="004C4A25"/>
    <w:rsid w:val="004C5C49"/>
    <w:rsid w:val="004D01FE"/>
    <w:rsid w:val="004D222E"/>
    <w:rsid w:val="004D2BB1"/>
    <w:rsid w:val="004D3092"/>
    <w:rsid w:val="004D3121"/>
    <w:rsid w:val="004D3429"/>
    <w:rsid w:val="004D4DF2"/>
    <w:rsid w:val="004D5EBB"/>
    <w:rsid w:val="004D7EE0"/>
    <w:rsid w:val="004E24FB"/>
    <w:rsid w:val="004E2998"/>
    <w:rsid w:val="004E3AFF"/>
    <w:rsid w:val="004E7ED6"/>
    <w:rsid w:val="004F1C2A"/>
    <w:rsid w:val="004F3B5A"/>
    <w:rsid w:val="004F4472"/>
    <w:rsid w:val="004F6380"/>
    <w:rsid w:val="004F7977"/>
    <w:rsid w:val="00500AC6"/>
    <w:rsid w:val="00501D0A"/>
    <w:rsid w:val="005026B2"/>
    <w:rsid w:val="0050310A"/>
    <w:rsid w:val="00503D6B"/>
    <w:rsid w:val="00504DBA"/>
    <w:rsid w:val="00505668"/>
    <w:rsid w:val="00512711"/>
    <w:rsid w:val="00513F79"/>
    <w:rsid w:val="00515C7E"/>
    <w:rsid w:val="00520C77"/>
    <w:rsid w:val="005213CF"/>
    <w:rsid w:val="005218B3"/>
    <w:rsid w:val="00522D43"/>
    <w:rsid w:val="00527B83"/>
    <w:rsid w:val="00532DAA"/>
    <w:rsid w:val="00535343"/>
    <w:rsid w:val="00536123"/>
    <w:rsid w:val="0053724B"/>
    <w:rsid w:val="0054095A"/>
    <w:rsid w:val="00543DF5"/>
    <w:rsid w:val="00544F46"/>
    <w:rsid w:val="0054668C"/>
    <w:rsid w:val="005501A0"/>
    <w:rsid w:val="00554764"/>
    <w:rsid w:val="005571C4"/>
    <w:rsid w:val="00560D34"/>
    <w:rsid w:val="00561860"/>
    <w:rsid w:val="0056478E"/>
    <w:rsid w:val="0056539A"/>
    <w:rsid w:val="0057056B"/>
    <w:rsid w:val="00571158"/>
    <w:rsid w:val="00571165"/>
    <w:rsid w:val="0057251B"/>
    <w:rsid w:val="005734F0"/>
    <w:rsid w:val="0057384E"/>
    <w:rsid w:val="00575372"/>
    <w:rsid w:val="00582F2F"/>
    <w:rsid w:val="00584872"/>
    <w:rsid w:val="00585968"/>
    <w:rsid w:val="00587870"/>
    <w:rsid w:val="0059023C"/>
    <w:rsid w:val="0059434A"/>
    <w:rsid w:val="005965B8"/>
    <w:rsid w:val="00597185"/>
    <w:rsid w:val="005A05AE"/>
    <w:rsid w:val="005A0659"/>
    <w:rsid w:val="005A1295"/>
    <w:rsid w:val="005A1306"/>
    <w:rsid w:val="005A3BE2"/>
    <w:rsid w:val="005A3F92"/>
    <w:rsid w:val="005B058F"/>
    <w:rsid w:val="005B2036"/>
    <w:rsid w:val="005B2E5C"/>
    <w:rsid w:val="005B37BC"/>
    <w:rsid w:val="005B40EB"/>
    <w:rsid w:val="005B4ADE"/>
    <w:rsid w:val="005B60CF"/>
    <w:rsid w:val="005B6CF5"/>
    <w:rsid w:val="005B6DF3"/>
    <w:rsid w:val="005C19A9"/>
    <w:rsid w:val="005C2A9A"/>
    <w:rsid w:val="005C32A3"/>
    <w:rsid w:val="005C6A05"/>
    <w:rsid w:val="005C79DA"/>
    <w:rsid w:val="005D03A3"/>
    <w:rsid w:val="005D1241"/>
    <w:rsid w:val="005D22E6"/>
    <w:rsid w:val="005D274F"/>
    <w:rsid w:val="005D4C09"/>
    <w:rsid w:val="005D555F"/>
    <w:rsid w:val="005E07EF"/>
    <w:rsid w:val="005E2FFC"/>
    <w:rsid w:val="005E3153"/>
    <w:rsid w:val="005E33DB"/>
    <w:rsid w:val="005E342F"/>
    <w:rsid w:val="005E506E"/>
    <w:rsid w:val="005F00AB"/>
    <w:rsid w:val="005F0589"/>
    <w:rsid w:val="005F0DD4"/>
    <w:rsid w:val="005F164B"/>
    <w:rsid w:val="005F49BA"/>
    <w:rsid w:val="005F4EAE"/>
    <w:rsid w:val="00600AD8"/>
    <w:rsid w:val="00601C2D"/>
    <w:rsid w:val="006027A7"/>
    <w:rsid w:val="006047EF"/>
    <w:rsid w:val="00605749"/>
    <w:rsid w:val="00605AF8"/>
    <w:rsid w:val="0060669D"/>
    <w:rsid w:val="00607C63"/>
    <w:rsid w:val="00612EAB"/>
    <w:rsid w:val="006142DC"/>
    <w:rsid w:val="00614B47"/>
    <w:rsid w:val="00615AB9"/>
    <w:rsid w:val="00622E11"/>
    <w:rsid w:val="00624831"/>
    <w:rsid w:val="00625306"/>
    <w:rsid w:val="00627592"/>
    <w:rsid w:val="00627C1C"/>
    <w:rsid w:val="00630E34"/>
    <w:rsid w:val="00631F07"/>
    <w:rsid w:val="0063316B"/>
    <w:rsid w:val="00641696"/>
    <w:rsid w:val="00642697"/>
    <w:rsid w:val="00643AE5"/>
    <w:rsid w:val="00643EB2"/>
    <w:rsid w:val="00644201"/>
    <w:rsid w:val="00651814"/>
    <w:rsid w:val="006519F8"/>
    <w:rsid w:val="00653B9F"/>
    <w:rsid w:val="00654848"/>
    <w:rsid w:val="00654F42"/>
    <w:rsid w:val="006570D7"/>
    <w:rsid w:val="0066158C"/>
    <w:rsid w:val="00665255"/>
    <w:rsid w:val="006654A0"/>
    <w:rsid w:val="006659C1"/>
    <w:rsid w:val="00666591"/>
    <w:rsid w:val="006675A9"/>
    <w:rsid w:val="006704AC"/>
    <w:rsid w:val="00671B2C"/>
    <w:rsid w:val="00673522"/>
    <w:rsid w:val="006741A0"/>
    <w:rsid w:val="00674683"/>
    <w:rsid w:val="006747F1"/>
    <w:rsid w:val="00676305"/>
    <w:rsid w:val="00680766"/>
    <w:rsid w:val="00680ECB"/>
    <w:rsid w:val="00684F2C"/>
    <w:rsid w:val="006878B8"/>
    <w:rsid w:val="0069084B"/>
    <w:rsid w:val="00691A07"/>
    <w:rsid w:val="0069344C"/>
    <w:rsid w:val="00694D90"/>
    <w:rsid w:val="00695AC0"/>
    <w:rsid w:val="00697D6A"/>
    <w:rsid w:val="006A1453"/>
    <w:rsid w:val="006A2FB3"/>
    <w:rsid w:val="006A3AA5"/>
    <w:rsid w:val="006A3F17"/>
    <w:rsid w:val="006A4D75"/>
    <w:rsid w:val="006A5595"/>
    <w:rsid w:val="006A7BED"/>
    <w:rsid w:val="006B19ED"/>
    <w:rsid w:val="006B2E33"/>
    <w:rsid w:val="006B42C7"/>
    <w:rsid w:val="006B441A"/>
    <w:rsid w:val="006B46B2"/>
    <w:rsid w:val="006B47ED"/>
    <w:rsid w:val="006B594C"/>
    <w:rsid w:val="006B698F"/>
    <w:rsid w:val="006C0255"/>
    <w:rsid w:val="006C1021"/>
    <w:rsid w:val="006C1049"/>
    <w:rsid w:val="006C15A2"/>
    <w:rsid w:val="006C3B6F"/>
    <w:rsid w:val="006C4111"/>
    <w:rsid w:val="006C68B6"/>
    <w:rsid w:val="006C6FA9"/>
    <w:rsid w:val="006D174F"/>
    <w:rsid w:val="006D426C"/>
    <w:rsid w:val="006D5253"/>
    <w:rsid w:val="006D5AFD"/>
    <w:rsid w:val="006D6B52"/>
    <w:rsid w:val="006D7406"/>
    <w:rsid w:val="006D79B4"/>
    <w:rsid w:val="006E05AD"/>
    <w:rsid w:val="006E2C02"/>
    <w:rsid w:val="006E321E"/>
    <w:rsid w:val="006E44C9"/>
    <w:rsid w:val="006E5B27"/>
    <w:rsid w:val="006E6A99"/>
    <w:rsid w:val="006F240D"/>
    <w:rsid w:val="006F265F"/>
    <w:rsid w:val="006F3B12"/>
    <w:rsid w:val="006F7B8D"/>
    <w:rsid w:val="00700577"/>
    <w:rsid w:val="00702E0B"/>
    <w:rsid w:val="00703160"/>
    <w:rsid w:val="00704063"/>
    <w:rsid w:val="00704148"/>
    <w:rsid w:val="007076A2"/>
    <w:rsid w:val="00707C89"/>
    <w:rsid w:val="007108F1"/>
    <w:rsid w:val="00713B54"/>
    <w:rsid w:val="00715691"/>
    <w:rsid w:val="00717DEE"/>
    <w:rsid w:val="00721030"/>
    <w:rsid w:val="007303FF"/>
    <w:rsid w:val="00731935"/>
    <w:rsid w:val="007402CD"/>
    <w:rsid w:val="007419FC"/>
    <w:rsid w:val="007426F1"/>
    <w:rsid w:val="00742CC8"/>
    <w:rsid w:val="007430BE"/>
    <w:rsid w:val="00744F21"/>
    <w:rsid w:val="0074515E"/>
    <w:rsid w:val="00746523"/>
    <w:rsid w:val="00752966"/>
    <w:rsid w:val="00754857"/>
    <w:rsid w:val="00754AF5"/>
    <w:rsid w:val="0075525F"/>
    <w:rsid w:val="007567CE"/>
    <w:rsid w:val="00756A6B"/>
    <w:rsid w:val="00756F1A"/>
    <w:rsid w:val="00757E86"/>
    <w:rsid w:val="0076041F"/>
    <w:rsid w:val="007616F3"/>
    <w:rsid w:val="00762FEA"/>
    <w:rsid w:val="00763E36"/>
    <w:rsid w:val="00764FD1"/>
    <w:rsid w:val="00765B3D"/>
    <w:rsid w:val="00766A10"/>
    <w:rsid w:val="007703D8"/>
    <w:rsid w:val="007710DD"/>
    <w:rsid w:val="0077276E"/>
    <w:rsid w:val="007733F7"/>
    <w:rsid w:val="007739FC"/>
    <w:rsid w:val="0077591F"/>
    <w:rsid w:val="00776604"/>
    <w:rsid w:val="00776766"/>
    <w:rsid w:val="00782A57"/>
    <w:rsid w:val="00783352"/>
    <w:rsid w:val="00783785"/>
    <w:rsid w:val="00783BD8"/>
    <w:rsid w:val="007848F0"/>
    <w:rsid w:val="00786887"/>
    <w:rsid w:val="007900A8"/>
    <w:rsid w:val="00790DC2"/>
    <w:rsid w:val="00793032"/>
    <w:rsid w:val="00793888"/>
    <w:rsid w:val="00794750"/>
    <w:rsid w:val="0079552F"/>
    <w:rsid w:val="007970B9"/>
    <w:rsid w:val="007A0F19"/>
    <w:rsid w:val="007A3561"/>
    <w:rsid w:val="007A3F23"/>
    <w:rsid w:val="007A4A70"/>
    <w:rsid w:val="007A732F"/>
    <w:rsid w:val="007A7338"/>
    <w:rsid w:val="007A7739"/>
    <w:rsid w:val="007B0882"/>
    <w:rsid w:val="007B0BEB"/>
    <w:rsid w:val="007B1929"/>
    <w:rsid w:val="007C01DA"/>
    <w:rsid w:val="007C0A0F"/>
    <w:rsid w:val="007C18A8"/>
    <w:rsid w:val="007C225F"/>
    <w:rsid w:val="007C52B5"/>
    <w:rsid w:val="007C59D2"/>
    <w:rsid w:val="007C7362"/>
    <w:rsid w:val="007D0C97"/>
    <w:rsid w:val="007D2681"/>
    <w:rsid w:val="007D2834"/>
    <w:rsid w:val="007D34DA"/>
    <w:rsid w:val="007D3D7B"/>
    <w:rsid w:val="007D40FA"/>
    <w:rsid w:val="007D43BA"/>
    <w:rsid w:val="007D57D4"/>
    <w:rsid w:val="007D5F2E"/>
    <w:rsid w:val="007D6F1A"/>
    <w:rsid w:val="007D7A60"/>
    <w:rsid w:val="007E17BB"/>
    <w:rsid w:val="007E1A12"/>
    <w:rsid w:val="007E4446"/>
    <w:rsid w:val="007E64FF"/>
    <w:rsid w:val="007E6BCC"/>
    <w:rsid w:val="007E6DC9"/>
    <w:rsid w:val="007E755C"/>
    <w:rsid w:val="007F0449"/>
    <w:rsid w:val="007F1260"/>
    <w:rsid w:val="007F38E0"/>
    <w:rsid w:val="007F465B"/>
    <w:rsid w:val="007F628C"/>
    <w:rsid w:val="007F64BB"/>
    <w:rsid w:val="007F79C8"/>
    <w:rsid w:val="007F7B5A"/>
    <w:rsid w:val="00800160"/>
    <w:rsid w:val="00802443"/>
    <w:rsid w:val="00803259"/>
    <w:rsid w:val="00803C76"/>
    <w:rsid w:val="00803D97"/>
    <w:rsid w:val="008040CD"/>
    <w:rsid w:val="00810B38"/>
    <w:rsid w:val="00812DF6"/>
    <w:rsid w:val="00814384"/>
    <w:rsid w:val="00814677"/>
    <w:rsid w:val="00814D1F"/>
    <w:rsid w:val="008174E5"/>
    <w:rsid w:val="0082067E"/>
    <w:rsid w:val="00820BF5"/>
    <w:rsid w:val="00820D4C"/>
    <w:rsid w:val="0082382C"/>
    <w:rsid w:val="00825B15"/>
    <w:rsid w:val="00832017"/>
    <w:rsid w:val="00833E2D"/>
    <w:rsid w:val="00836499"/>
    <w:rsid w:val="00837E19"/>
    <w:rsid w:val="008406F1"/>
    <w:rsid w:val="00842B8C"/>
    <w:rsid w:val="00843877"/>
    <w:rsid w:val="00844916"/>
    <w:rsid w:val="008452E5"/>
    <w:rsid w:val="00845525"/>
    <w:rsid w:val="00845BAE"/>
    <w:rsid w:val="00850749"/>
    <w:rsid w:val="00850CED"/>
    <w:rsid w:val="00851530"/>
    <w:rsid w:val="00852A93"/>
    <w:rsid w:val="00854752"/>
    <w:rsid w:val="00855CA9"/>
    <w:rsid w:val="00857EE8"/>
    <w:rsid w:val="008602BE"/>
    <w:rsid w:val="00861316"/>
    <w:rsid w:val="00863DF0"/>
    <w:rsid w:val="00864568"/>
    <w:rsid w:val="00865AC1"/>
    <w:rsid w:val="00865BD0"/>
    <w:rsid w:val="00867E7E"/>
    <w:rsid w:val="00870EE2"/>
    <w:rsid w:val="008725E1"/>
    <w:rsid w:val="0087328E"/>
    <w:rsid w:val="00873E68"/>
    <w:rsid w:val="00874355"/>
    <w:rsid w:val="008748AD"/>
    <w:rsid w:val="00874ADD"/>
    <w:rsid w:val="00877C46"/>
    <w:rsid w:val="008818ED"/>
    <w:rsid w:val="00882F16"/>
    <w:rsid w:val="00882F53"/>
    <w:rsid w:val="008834CA"/>
    <w:rsid w:val="00883787"/>
    <w:rsid w:val="00883B94"/>
    <w:rsid w:val="00884652"/>
    <w:rsid w:val="00884FC3"/>
    <w:rsid w:val="0088558C"/>
    <w:rsid w:val="00887AFA"/>
    <w:rsid w:val="00890F04"/>
    <w:rsid w:val="00892588"/>
    <w:rsid w:val="008A2FD5"/>
    <w:rsid w:val="008A3A46"/>
    <w:rsid w:val="008A436E"/>
    <w:rsid w:val="008A756C"/>
    <w:rsid w:val="008B3E64"/>
    <w:rsid w:val="008B602B"/>
    <w:rsid w:val="008B7094"/>
    <w:rsid w:val="008C084C"/>
    <w:rsid w:val="008C1EFE"/>
    <w:rsid w:val="008C6114"/>
    <w:rsid w:val="008D0499"/>
    <w:rsid w:val="008D0756"/>
    <w:rsid w:val="008D1569"/>
    <w:rsid w:val="008D252B"/>
    <w:rsid w:val="008D3929"/>
    <w:rsid w:val="008D3E56"/>
    <w:rsid w:val="008D4777"/>
    <w:rsid w:val="008D4E7C"/>
    <w:rsid w:val="008D5BBE"/>
    <w:rsid w:val="008D6CB4"/>
    <w:rsid w:val="008D6FBB"/>
    <w:rsid w:val="008D7863"/>
    <w:rsid w:val="008D7E34"/>
    <w:rsid w:val="008D7E88"/>
    <w:rsid w:val="008E18E4"/>
    <w:rsid w:val="008E447C"/>
    <w:rsid w:val="008E6309"/>
    <w:rsid w:val="008E6ECD"/>
    <w:rsid w:val="008F0640"/>
    <w:rsid w:val="008F43B7"/>
    <w:rsid w:val="008F507D"/>
    <w:rsid w:val="008F7936"/>
    <w:rsid w:val="0090034D"/>
    <w:rsid w:val="0090047E"/>
    <w:rsid w:val="00901A6D"/>
    <w:rsid w:val="00906134"/>
    <w:rsid w:val="0090759D"/>
    <w:rsid w:val="00907FD5"/>
    <w:rsid w:val="00907FF6"/>
    <w:rsid w:val="00911BBA"/>
    <w:rsid w:val="009128EA"/>
    <w:rsid w:val="00914631"/>
    <w:rsid w:val="00914F37"/>
    <w:rsid w:val="00915655"/>
    <w:rsid w:val="0091583C"/>
    <w:rsid w:val="0092087C"/>
    <w:rsid w:val="009223A6"/>
    <w:rsid w:val="009229AB"/>
    <w:rsid w:val="00926DF9"/>
    <w:rsid w:val="00926FEC"/>
    <w:rsid w:val="0093029E"/>
    <w:rsid w:val="009314ED"/>
    <w:rsid w:val="009317FA"/>
    <w:rsid w:val="00933F49"/>
    <w:rsid w:val="0093772B"/>
    <w:rsid w:val="00937E79"/>
    <w:rsid w:val="009409ED"/>
    <w:rsid w:val="009414EC"/>
    <w:rsid w:val="00941E68"/>
    <w:rsid w:val="00942018"/>
    <w:rsid w:val="00942837"/>
    <w:rsid w:val="009433F5"/>
    <w:rsid w:val="009454A3"/>
    <w:rsid w:val="00947A7C"/>
    <w:rsid w:val="00950B92"/>
    <w:rsid w:val="00950BFE"/>
    <w:rsid w:val="00951D54"/>
    <w:rsid w:val="00954B14"/>
    <w:rsid w:val="0096153B"/>
    <w:rsid w:val="009621F2"/>
    <w:rsid w:val="0096471A"/>
    <w:rsid w:val="00966488"/>
    <w:rsid w:val="00971034"/>
    <w:rsid w:val="009737F5"/>
    <w:rsid w:val="00974803"/>
    <w:rsid w:val="009754B2"/>
    <w:rsid w:val="009774EE"/>
    <w:rsid w:val="0097786E"/>
    <w:rsid w:val="00980FAF"/>
    <w:rsid w:val="009828DA"/>
    <w:rsid w:val="00982B74"/>
    <w:rsid w:val="009834B0"/>
    <w:rsid w:val="0098516E"/>
    <w:rsid w:val="009854C7"/>
    <w:rsid w:val="00986C8D"/>
    <w:rsid w:val="009879A5"/>
    <w:rsid w:val="00990DAD"/>
    <w:rsid w:val="0099105E"/>
    <w:rsid w:val="00991A67"/>
    <w:rsid w:val="0099215F"/>
    <w:rsid w:val="00992E8E"/>
    <w:rsid w:val="00994843"/>
    <w:rsid w:val="00995B99"/>
    <w:rsid w:val="00996AD8"/>
    <w:rsid w:val="009977F1"/>
    <w:rsid w:val="009A00FB"/>
    <w:rsid w:val="009A119E"/>
    <w:rsid w:val="009A24DD"/>
    <w:rsid w:val="009A34E0"/>
    <w:rsid w:val="009A4150"/>
    <w:rsid w:val="009A4CB7"/>
    <w:rsid w:val="009A4EA8"/>
    <w:rsid w:val="009A61D0"/>
    <w:rsid w:val="009A623C"/>
    <w:rsid w:val="009A6784"/>
    <w:rsid w:val="009A6854"/>
    <w:rsid w:val="009A7D6F"/>
    <w:rsid w:val="009B09C9"/>
    <w:rsid w:val="009B2F13"/>
    <w:rsid w:val="009B4B1F"/>
    <w:rsid w:val="009B53BB"/>
    <w:rsid w:val="009B663E"/>
    <w:rsid w:val="009B698D"/>
    <w:rsid w:val="009B6EA8"/>
    <w:rsid w:val="009B74DD"/>
    <w:rsid w:val="009C0107"/>
    <w:rsid w:val="009C0F5A"/>
    <w:rsid w:val="009C1002"/>
    <w:rsid w:val="009C6F2C"/>
    <w:rsid w:val="009C78FE"/>
    <w:rsid w:val="009D062C"/>
    <w:rsid w:val="009D3815"/>
    <w:rsid w:val="009D4B61"/>
    <w:rsid w:val="009D7BCE"/>
    <w:rsid w:val="009E0AB6"/>
    <w:rsid w:val="009E1B55"/>
    <w:rsid w:val="009E3169"/>
    <w:rsid w:val="009E3357"/>
    <w:rsid w:val="009E4B30"/>
    <w:rsid w:val="009E4B96"/>
    <w:rsid w:val="009E4E60"/>
    <w:rsid w:val="009E551D"/>
    <w:rsid w:val="009E7476"/>
    <w:rsid w:val="009E7521"/>
    <w:rsid w:val="009F0285"/>
    <w:rsid w:val="009F30E2"/>
    <w:rsid w:val="009F36B6"/>
    <w:rsid w:val="009F5081"/>
    <w:rsid w:val="009F55FF"/>
    <w:rsid w:val="009F6F65"/>
    <w:rsid w:val="00A0038C"/>
    <w:rsid w:val="00A0197C"/>
    <w:rsid w:val="00A028EF"/>
    <w:rsid w:val="00A0468F"/>
    <w:rsid w:val="00A058ED"/>
    <w:rsid w:val="00A05E8B"/>
    <w:rsid w:val="00A0616D"/>
    <w:rsid w:val="00A07DA3"/>
    <w:rsid w:val="00A12B70"/>
    <w:rsid w:val="00A12E49"/>
    <w:rsid w:val="00A13AE4"/>
    <w:rsid w:val="00A14AE9"/>
    <w:rsid w:val="00A1573F"/>
    <w:rsid w:val="00A16715"/>
    <w:rsid w:val="00A171AE"/>
    <w:rsid w:val="00A17505"/>
    <w:rsid w:val="00A25DD6"/>
    <w:rsid w:val="00A261A1"/>
    <w:rsid w:val="00A26683"/>
    <w:rsid w:val="00A27A04"/>
    <w:rsid w:val="00A31A01"/>
    <w:rsid w:val="00A33087"/>
    <w:rsid w:val="00A33D8B"/>
    <w:rsid w:val="00A341F8"/>
    <w:rsid w:val="00A36C81"/>
    <w:rsid w:val="00A36DCA"/>
    <w:rsid w:val="00A37A53"/>
    <w:rsid w:val="00A445A7"/>
    <w:rsid w:val="00A445DB"/>
    <w:rsid w:val="00A47DF4"/>
    <w:rsid w:val="00A501B6"/>
    <w:rsid w:val="00A518F5"/>
    <w:rsid w:val="00A54359"/>
    <w:rsid w:val="00A546A6"/>
    <w:rsid w:val="00A57480"/>
    <w:rsid w:val="00A57DDB"/>
    <w:rsid w:val="00A61374"/>
    <w:rsid w:val="00A61A5D"/>
    <w:rsid w:val="00A62E8F"/>
    <w:rsid w:val="00A63059"/>
    <w:rsid w:val="00A64C01"/>
    <w:rsid w:val="00A666BF"/>
    <w:rsid w:val="00A70E65"/>
    <w:rsid w:val="00A70E9C"/>
    <w:rsid w:val="00A751B8"/>
    <w:rsid w:val="00A7563E"/>
    <w:rsid w:val="00A76A4F"/>
    <w:rsid w:val="00A773BF"/>
    <w:rsid w:val="00A773EA"/>
    <w:rsid w:val="00A77B77"/>
    <w:rsid w:val="00A805C3"/>
    <w:rsid w:val="00A80673"/>
    <w:rsid w:val="00A812E3"/>
    <w:rsid w:val="00A8340D"/>
    <w:rsid w:val="00A83853"/>
    <w:rsid w:val="00A84BE7"/>
    <w:rsid w:val="00A85234"/>
    <w:rsid w:val="00A86FEA"/>
    <w:rsid w:val="00A91350"/>
    <w:rsid w:val="00A9444F"/>
    <w:rsid w:val="00A95A7C"/>
    <w:rsid w:val="00A95D69"/>
    <w:rsid w:val="00A9782C"/>
    <w:rsid w:val="00AA2665"/>
    <w:rsid w:val="00AA39E2"/>
    <w:rsid w:val="00AA513A"/>
    <w:rsid w:val="00AA658D"/>
    <w:rsid w:val="00AB08EB"/>
    <w:rsid w:val="00AB101A"/>
    <w:rsid w:val="00AB2E69"/>
    <w:rsid w:val="00AB470D"/>
    <w:rsid w:val="00AB4D50"/>
    <w:rsid w:val="00AB4F6C"/>
    <w:rsid w:val="00AB77CB"/>
    <w:rsid w:val="00AC090B"/>
    <w:rsid w:val="00AC2A81"/>
    <w:rsid w:val="00AC3B9A"/>
    <w:rsid w:val="00AC52F2"/>
    <w:rsid w:val="00AC7F3C"/>
    <w:rsid w:val="00AD0F29"/>
    <w:rsid w:val="00AD202E"/>
    <w:rsid w:val="00AD4BF2"/>
    <w:rsid w:val="00AD4D5F"/>
    <w:rsid w:val="00AD5E9A"/>
    <w:rsid w:val="00AD75B8"/>
    <w:rsid w:val="00AE27EF"/>
    <w:rsid w:val="00AE3015"/>
    <w:rsid w:val="00AE44FA"/>
    <w:rsid w:val="00AE4873"/>
    <w:rsid w:val="00AE4ED6"/>
    <w:rsid w:val="00AE53E7"/>
    <w:rsid w:val="00AE5614"/>
    <w:rsid w:val="00AE59E9"/>
    <w:rsid w:val="00AF2166"/>
    <w:rsid w:val="00AF4216"/>
    <w:rsid w:val="00AF4F04"/>
    <w:rsid w:val="00AF57A9"/>
    <w:rsid w:val="00B00602"/>
    <w:rsid w:val="00B0235D"/>
    <w:rsid w:val="00B03A41"/>
    <w:rsid w:val="00B0433A"/>
    <w:rsid w:val="00B05BE3"/>
    <w:rsid w:val="00B07798"/>
    <w:rsid w:val="00B10657"/>
    <w:rsid w:val="00B1453D"/>
    <w:rsid w:val="00B152F5"/>
    <w:rsid w:val="00B167E0"/>
    <w:rsid w:val="00B20BFA"/>
    <w:rsid w:val="00B2701D"/>
    <w:rsid w:val="00B27DBF"/>
    <w:rsid w:val="00B30B72"/>
    <w:rsid w:val="00B30DA2"/>
    <w:rsid w:val="00B33985"/>
    <w:rsid w:val="00B36420"/>
    <w:rsid w:val="00B3717E"/>
    <w:rsid w:val="00B42747"/>
    <w:rsid w:val="00B43625"/>
    <w:rsid w:val="00B45213"/>
    <w:rsid w:val="00B45A65"/>
    <w:rsid w:val="00B460FC"/>
    <w:rsid w:val="00B46926"/>
    <w:rsid w:val="00B5375C"/>
    <w:rsid w:val="00B5387B"/>
    <w:rsid w:val="00B549A1"/>
    <w:rsid w:val="00B557A1"/>
    <w:rsid w:val="00B56FE1"/>
    <w:rsid w:val="00B57570"/>
    <w:rsid w:val="00B57AEB"/>
    <w:rsid w:val="00B630B0"/>
    <w:rsid w:val="00B65438"/>
    <w:rsid w:val="00B655EA"/>
    <w:rsid w:val="00B659B4"/>
    <w:rsid w:val="00B70F48"/>
    <w:rsid w:val="00B71400"/>
    <w:rsid w:val="00B80925"/>
    <w:rsid w:val="00B8092D"/>
    <w:rsid w:val="00B83EF2"/>
    <w:rsid w:val="00B845AB"/>
    <w:rsid w:val="00B84D25"/>
    <w:rsid w:val="00B859F0"/>
    <w:rsid w:val="00B8608F"/>
    <w:rsid w:val="00B861FA"/>
    <w:rsid w:val="00B868F2"/>
    <w:rsid w:val="00B8765E"/>
    <w:rsid w:val="00B9064E"/>
    <w:rsid w:val="00B92367"/>
    <w:rsid w:val="00B9384D"/>
    <w:rsid w:val="00B949B0"/>
    <w:rsid w:val="00B95152"/>
    <w:rsid w:val="00B978F7"/>
    <w:rsid w:val="00B97B60"/>
    <w:rsid w:val="00BA018C"/>
    <w:rsid w:val="00BA326D"/>
    <w:rsid w:val="00BA7FDE"/>
    <w:rsid w:val="00BB576B"/>
    <w:rsid w:val="00BB5D6D"/>
    <w:rsid w:val="00BB7531"/>
    <w:rsid w:val="00BB7FED"/>
    <w:rsid w:val="00BC1413"/>
    <w:rsid w:val="00BC3CBC"/>
    <w:rsid w:val="00BC3E52"/>
    <w:rsid w:val="00BC4A29"/>
    <w:rsid w:val="00BC54CD"/>
    <w:rsid w:val="00BC59A9"/>
    <w:rsid w:val="00BD1A8F"/>
    <w:rsid w:val="00BD2FCC"/>
    <w:rsid w:val="00BD4BA3"/>
    <w:rsid w:val="00BD4DDF"/>
    <w:rsid w:val="00BD5034"/>
    <w:rsid w:val="00BD543C"/>
    <w:rsid w:val="00BD7F0A"/>
    <w:rsid w:val="00BE05C3"/>
    <w:rsid w:val="00BE0736"/>
    <w:rsid w:val="00BE328F"/>
    <w:rsid w:val="00BE3558"/>
    <w:rsid w:val="00BE3D72"/>
    <w:rsid w:val="00BE430A"/>
    <w:rsid w:val="00BF1FC9"/>
    <w:rsid w:val="00BF22A0"/>
    <w:rsid w:val="00BF5CD5"/>
    <w:rsid w:val="00BF5DE6"/>
    <w:rsid w:val="00BF700B"/>
    <w:rsid w:val="00C0133B"/>
    <w:rsid w:val="00C01861"/>
    <w:rsid w:val="00C03C73"/>
    <w:rsid w:val="00C057B8"/>
    <w:rsid w:val="00C110C3"/>
    <w:rsid w:val="00C11209"/>
    <w:rsid w:val="00C1347E"/>
    <w:rsid w:val="00C16E9A"/>
    <w:rsid w:val="00C17D30"/>
    <w:rsid w:val="00C22846"/>
    <w:rsid w:val="00C22A35"/>
    <w:rsid w:val="00C2358E"/>
    <w:rsid w:val="00C23E4C"/>
    <w:rsid w:val="00C24A64"/>
    <w:rsid w:val="00C2560F"/>
    <w:rsid w:val="00C2689B"/>
    <w:rsid w:val="00C26AE4"/>
    <w:rsid w:val="00C27FEB"/>
    <w:rsid w:val="00C300E1"/>
    <w:rsid w:val="00C37B0E"/>
    <w:rsid w:val="00C37CF8"/>
    <w:rsid w:val="00C41B2D"/>
    <w:rsid w:val="00C43205"/>
    <w:rsid w:val="00C43365"/>
    <w:rsid w:val="00C43417"/>
    <w:rsid w:val="00C434BC"/>
    <w:rsid w:val="00C4374A"/>
    <w:rsid w:val="00C43DF1"/>
    <w:rsid w:val="00C44BF2"/>
    <w:rsid w:val="00C46916"/>
    <w:rsid w:val="00C46F10"/>
    <w:rsid w:val="00C47841"/>
    <w:rsid w:val="00C47DD1"/>
    <w:rsid w:val="00C51F19"/>
    <w:rsid w:val="00C520D5"/>
    <w:rsid w:val="00C53B23"/>
    <w:rsid w:val="00C54551"/>
    <w:rsid w:val="00C54C1A"/>
    <w:rsid w:val="00C55E3C"/>
    <w:rsid w:val="00C569C7"/>
    <w:rsid w:val="00C60596"/>
    <w:rsid w:val="00C61E75"/>
    <w:rsid w:val="00C63BA1"/>
    <w:rsid w:val="00C65633"/>
    <w:rsid w:val="00C66E7B"/>
    <w:rsid w:val="00C673A9"/>
    <w:rsid w:val="00C67517"/>
    <w:rsid w:val="00C67EF6"/>
    <w:rsid w:val="00C70E33"/>
    <w:rsid w:val="00C71507"/>
    <w:rsid w:val="00C7390E"/>
    <w:rsid w:val="00C7407F"/>
    <w:rsid w:val="00C80690"/>
    <w:rsid w:val="00C8265C"/>
    <w:rsid w:val="00C83E31"/>
    <w:rsid w:val="00C856E7"/>
    <w:rsid w:val="00C91028"/>
    <w:rsid w:val="00C93BF1"/>
    <w:rsid w:val="00C94863"/>
    <w:rsid w:val="00C94FE6"/>
    <w:rsid w:val="00CA110B"/>
    <w:rsid w:val="00CA283C"/>
    <w:rsid w:val="00CA2EE5"/>
    <w:rsid w:val="00CA5B2A"/>
    <w:rsid w:val="00CA7144"/>
    <w:rsid w:val="00CA7B54"/>
    <w:rsid w:val="00CB3BBB"/>
    <w:rsid w:val="00CB4B27"/>
    <w:rsid w:val="00CB6C9E"/>
    <w:rsid w:val="00CB7817"/>
    <w:rsid w:val="00CB78E6"/>
    <w:rsid w:val="00CC1670"/>
    <w:rsid w:val="00CC2299"/>
    <w:rsid w:val="00CC3FC3"/>
    <w:rsid w:val="00CC48DF"/>
    <w:rsid w:val="00CC5ECE"/>
    <w:rsid w:val="00CC6C49"/>
    <w:rsid w:val="00CD005F"/>
    <w:rsid w:val="00CD29F1"/>
    <w:rsid w:val="00CD47D7"/>
    <w:rsid w:val="00CD4B9E"/>
    <w:rsid w:val="00CD52EE"/>
    <w:rsid w:val="00CD5669"/>
    <w:rsid w:val="00CD6743"/>
    <w:rsid w:val="00CE0D7F"/>
    <w:rsid w:val="00CE1175"/>
    <w:rsid w:val="00CE2DB6"/>
    <w:rsid w:val="00CE3195"/>
    <w:rsid w:val="00CE320C"/>
    <w:rsid w:val="00CE4EDE"/>
    <w:rsid w:val="00CE74CC"/>
    <w:rsid w:val="00CF2284"/>
    <w:rsid w:val="00CF2C08"/>
    <w:rsid w:val="00CF400C"/>
    <w:rsid w:val="00CF47DF"/>
    <w:rsid w:val="00D01BD1"/>
    <w:rsid w:val="00D020D3"/>
    <w:rsid w:val="00D031C0"/>
    <w:rsid w:val="00D04E62"/>
    <w:rsid w:val="00D0609A"/>
    <w:rsid w:val="00D06B69"/>
    <w:rsid w:val="00D06F2C"/>
    <w:rsid w:val="00D113A1"/>
    <w:rsid w:val="00D12978"/>
    <w:rsid w:val="00D12BED"/>
    <w:rsid w:val="00D14004"/>
    <w:rsid w:val="00D14872"/>
    <w:rsid w:val="00D158B8"/>
    <w:rsid w:val="00D15E7C"/>
    <w:rsid w:val="00D16406"/>
    <w:rsid w:val="00D2052F"/>
    <w:rsid w:val="00D20ECD"/>
    <w:rsid w:val="00D21477"/>
    <w:rsid w:val="00D22456"/>
    <w:rsid w:val="00D24519"/>
    <w:rsid w:val="00D25DAB"/>
    <w:rsid w:val="00D27846"/>
    <w:rsid w:val="00D27A6C"/>
    <w:rsid w:val="00D30250"/>
    <w:rsid w:val="00D307A0"/>
    <w:rsid w:val="00D30D4C"/>
    <w:rsid w:val="00D320EA"/>
    <w:rsid w:val="00D34F21"/>
    <w:rsid w:val="00D35DB9"/>
    <w:rsid w:val="00D365E0"/>
    <w:rsid w:val="00D36B67"/>
    <w:rsid w:val="00D40967"/>
    <w:rsid w:val="00D4272C"/>
    <w:rsid w:val="00D42809"/>
    <w:rsid w:val="00D44ACC"/>
    <w:rsid w:val="00D44F37"/>
    <w:rsid w:val="00D45678"/>
    <w:rsid w:val="00D45B14"/>
    <w:rsid w:val="00D474F9"/>
    <w:rsid w:val="00D5147D"/>
    <w:rsid w:val="00D52EBB"/>
    <w:rsid w:val="00D53C0A"/>
    <w:rsid w:val="00D5622E"/>
    <w:rsid w:val="00D56A90"/>
    <w:rsid w:val="00D6361F"/>
    <w:rsid w:val="00D64727"/>
    <w:rsid w:val="00D665B8"/>
    <w:rsid w:val="00D67403"/>
    <w:rsid w:val="00D70985"/>
    <w:rsid w:val="00D70C0D"/>
    <w:rsid w:val="00D72472"/>
    <w:rsid w:val="00D72BC9"/>
    <w:rsid w:val="00D80D77"/>
    <w:rsid w:val="00D81781"/>
    <w:rsid w:val="00D81E00"/>
    <w:rsid w:val="00D84352"/>
    <w:rsid w:val="00D85FC0"/>
    <w:rsid w:val="00D861E5"/>
    <w:rsid w:val="00D87EEF"/>
    <w:rsid w:val="00D901FB"/>
    <w:rsid w:val="00D91482"/>
    <w:rsid w:val="00D93AFF"/>
    <w:rsid w:val="00D93DE7"/>
    <w:rsid w:val="00D947E1"/>
    <w:rsid w:val="00D94B13"/>
    <w:rsid w:val="00D94C47"/>
    <w:rsid w:val="00D95AA4"/>
    <w:rsid w:val="00D95B0F"/>
    <w:rsid w:val="00D96D5C"/>
    <w:rsid w:val="00D976F3"/>
    <w:rsid w:val="00DA013D"/>
    <w:rsid w:val="00DA204C"/>
    <w:rsid w:val="00DA2423"/>
    <w:rsid w:val="00DA3389"/>
    <w:rsid w:val="00DA3C95"/>
    <w:rsid w:val="00DA54FA"/>
    <w:rsid w:val="00DA5D89"/>
    <w:rsid w:val="00DA677C"/>
    <w:rsid w:val="00DB1D45"/>
    <w:rsid w:val="00DB239A"/>
    <w:rsid w:val="00DB29C6"/>
    <w:rsid w:val="00DB3FFB"/>
    <w:rsid w:val="00DB5162"/>
    <w:rsid w:val="00DB60F8"/>
    <w:rsid w:val="00DB6605"/>
    <w:rsid w:val="00DC1231"/>
    <w:rsid w:val="00DC2236"/>
    <w:rsid w:val="00DC33E1"/>
    <w:rsid w:val="00DC44E4"/>
    <w:rsid w:val="00DC44E6"/>
    <w:rsid w:val="00DC7EAA"/>
    <w:rsid w:val="00DD0D5D"/>
    <w:rsid w:val="00DD1D70"/>
    <w:rsid w:val="00DD5254"/>
    <w:rsid w:val="00DD59A5"/>
    <w:rsid w:val="00DD620A"/>
    <w:rsid w:val="00DE1238"/>
    <w:rsid w:val="00DE3222"/>
    <w:rsid w:val="00DE33C7"/>
    <w:rsid w:val="00DE3496"/>
    <w:rsid w:val="00DE44DB"/>
    <w:rsid w:val="00DE6CE8"/>
    <w:rsid w:val="00DF2A02"/>
    <w:rsid w:val="00DF317B"/>
    <w:rsid w:val="00DF346C"/>
    <w:rsid w:val="00DF525A"/>
    <w:rsid w:val="00DF571F"/>
    <w:rsid w:val="00DF5A54"/>
    <w:rsid w:val="00DF61C7"/>
    <w:rsid w:val="00E0229A"/>
    <w:rsid w:val="00E042FF"/>
    <w:rsid w:val="00E05936"/>
    <w:rsid w:val="00E05AFB"/>
    <w:rsid w:val="00E05C97"/>
    <w:rsid w:val="00E07D4B"/>
    <w:rsid w:val="00E10ECE"/>
    <w:rsid w:val="00E11959"/>
    <w:rsid w:val="00E12716"/>
    <w:rsid w:val="00E12CA1"/>
    <w:rsid w:val="00E13761"/>
    <w:rsid w:val="00E15802"/>
    <w:rsid w:val="00E15C79"/>
    <w:rsid w:val="00E20769"/>
    <w:rsid w:val="00E211D4"/>
    <w:rsid w:val="00E219C7"/>
    <w:rsid w:val="00E22445"/>
    <w:rsid w:val="00E23512"/>
    <w:rsid w:val="00E25483"/>
    <w:rsid w:val="00E25748"/>
    <w:rsid w:val="00E27EAE"/>
    <w:rsid w:val="00E313A5"/>
    <w:rsid w:val="00E31436"/>
    <w:rsid w:val="00E32333"/>
    <w:rsid w:val="00E325D4"/>
    <w:rsid w:val="00E327ED"/>
    <w:rsid w:val="00E33A83"/>
    <w:rsid w:val="00E35A0B"/>
    <w:rsid w:val="00E37D25"/>
    <w:rsid w:val="00E40313"/>
    <w:rsid w:val="00E404C0"/>
    <w:rsid w:val="00E41E41"/>
    <w:rsid w:val="00E42D2D"/>
    <w:rsid w:val="00E43A87"/>
    <w:rsid w:val="00E44CE1"/>
    <w:rsid w:val="00E45D92"/>
    <w:rsid w:val="00E47E59"/>
    <w:rsid w:val="00E500B7"/>
    <w:rsid w:val="00E51B94"/>
    <w:rsid w:val="00E55C8E"/>
    <w:rsid w:val="00E55EDE"/>
    <w:rsid w:val="00E6060D"/>
    <w:rsid w:val="00E6075C"/>
    <w:rsid w:val="00E61043"/>
    <w:rsid w:val="00E611A7"/>
    <w:rsid w:val="00E614BD"/>
    <w:rsid w:val="00E637DE"/>
    <w:rsid w:val="00E63BDD"/>
    <w:rsid w:val="00E63E6D"/>
    <w:rsid w:val="00E64E46"/>
    <w:rsid w:val="00E650A6"/>
    <w:rsid w:val="00E707F2"/>
    <w:rsid w:val="00E72587"/>
    <w:rsid w:val="00E72E1B"/>
    <w:rsid w:val="00E76362"/>
    <w:rsid w:val="00E801AA"/>
    <w:rsid w:val="00E8307D"/>
    <w:rsid w:val="00E833EB"/>
    <w:rsid w:val="00E84537"/>
    <w:rsid w:val="00E908A9"/>
    <w:rsid w:val="00E93805"/>
    <w:rsid w:val="00E938DE"/>
    <w:rsid w:val="00E94626"/>
    <w:rsid w:val="00E9598C"/>
    <w:rsid w:val="00EA16D2"/>
    <w:rsid w:val="00EA3776"/>
    <w:rsid w:val="00EA56D0"/>
    <w:rsid w:val="00EA59A5"/>
    <w:rsid w:val="00EA6C23"/>
    <w:rsid w:val="00EB09C5"/>
    <w:rsid w:val="00EB56B7"/>
    <w:rsid w:val="00EB6D3D"/>
    <w:rsid w:val="00EB78F2"/>
    <w:rsid w:val="00EB79FC"/>
    <w:rsid w:val="00EC0EA5"/>
    <w:rsid w:val="00EC20F4"/>
    <w:rsid w:val="00EC28B3"/>
    <w:rsid w:val="00EC383D"/>
    <w:rsid w:val="00ED0CB9"/>
    <w:rsid w:val="00ED11A1"/>
    <w:rsid w:val="00ED24B5"/>
    <w:rsid w:val="00ED35EA"/>
    <w:rsid w:val="00ED5519"/>
    <w:rsid w:val="00ED5B5A"/>
    <w:rsid w:val="00ED7128"/>
    <w:rsid w:val="00EE0396"/>
    <w:rsid w:val="00EE341F"/>
    <w:rsid w:val="00EE7754"/>
    <w:rsid w:val="00EE7B83"/>
    <w:rsid w:val="00EF0C7C"/>
    <w:rsid w:val="00EF0E86"/>
    <w:rsid w:val="00EF14A0"/>
    <w:rsid w:val="00EF32BE"/>
    <w:rsid w:val="00EF3D90"/>
    <w:rsid w:val="00EF4D73"/>
    <w:rsid w:val="00F003A0"/>
    <w:rsid w:val="00F01181"/>
    <w:rsid w:val="00F02A01"/>
    <w:rsid w:val="00F033E6"/>
    <w:rsid w:val="00F03A33"/>
    <w:rsid w:val="00F044F0"/>
    <w:rsid w:val="00F05B55"/>
    <w:rsid w:val="00F109F8"/>
    <w:rsid w:val="00F11410"/>
    <w:rsid w:val="00F1330C"/>
    <w:rsid w:val="00F1445F"/>
    <w:rsid w:val="00F1611B"/>
    <w:rsid w:val="00F17565"/>
    <w:rsid w:val="00F20017"/>
    <w:rsid w:val="00F204C4"/>
    <w:rsid w:val="00F21046"/>
    <w:rsid w:val="00F22CD4"/>
    <w:rsid w:val="00F24930"/>
    <w:rsid w:val="00F264D0"/>
    <w:rsid w:val="00F27581"/>
    <w:rsid w:val="00F27591"/>
    <w:rsid w:val="00F277AA"/>
    <w:rsid w:val="00F27D44"/>
    <w:rsid w:val="00F323DE"/>
    <w:rsid w:val="00F32975"/>
    <w:rsid w:val="00F33E92"/>
    <w:rsid w:val="00F34E62"/>
    <w:rsid w:val="00F35FD9"/>
    <w:rsid w:val="00F3637A"/>
    <w:rsid w:val="00F36E9B"/>
    <w:rsid w:val="00F401C2"/>
    <w:rsid w:val="00F418DA"/>
    <w:rsid w:val="00F42619"/>
    <w:rsid w:val="00F43ACB"/>
    <w:rsid w:val="00F444F1"/>
    <w:rsid w:val="00F4519D"/>
    <w:rsid w:val="00F45A17"/>
    <w:rsid w:val="00F47B6F"/>
    <w:rsid w:val="00F51F16"/>
    <w:rsid w:val="00F52BB2"/>
    <w:rsid w:val="00F54214"/>
    <w:rsid w:val="00F54961"/>
    <w:rsid w:val="00F56E81"/>
    <w:rsid w:val="00F6012A"/>
    <w:rsid w:val="00F62F92"/>
    <w:rsid w:val="00F65F61"/>
    <w:rsid w:val="00F6658C"/>
    <w:rsid w:val="00F67B12"/>
    <w:rsid w:val="00F707C2"/>
    <w:rsid w:val="00F72072"/>
    <w:rsid w:val="00F73A10"/>
    <w:rsid w:val="00F73E29"/>
    <w:rsid w:val="00F745CD"/>
    <w:rsid w:val="00F74807"/>
    <w:rsid w:val="00F75419"/>
    <w:rsid w:val="00F75876"/>
    <w:rsid w:val="00F76068"/>
    <w:rsid w:val="00F77BC3"/>
    <w:rsid w:val="00F8064D"/>
    <w:rsid w:val="00F812A7"/>
    <w:rsid w:val="00F8159D"/>
    <w:rsid w:val="00F81690"/>
    <w:rsid w:val="00F84E67"/>
    <w:rsid w:val="00F854F4"/>
    <w:rsid w:val="00F86A48"/>
    <w:rsid w:val="00F876C8"/>
    <w:rsid w:val="00F90195"/>
    <w:rsid w:val="00F938A6"/>
    <w:rsid w:val="00F94723"/>
    <w:rsid w:val="00F947AE"/>
    <w:rsid w:val="00FA1390"/>
    <w:rsid w:val="00FA13E0"/>
    <w:rsid w:val="00FA1A7A"/>
    <w:rsid w:val="00FA2349"/>
    <w:rsid w:val="00FA2B9E"/>
    <w:rsid w:val="00FA3484"/>
    <w:rsid w:val="00FA6774"/>
    <w:rsid w:val="00FB1D06"/>
    <w:rsid w:val="00FB20DF"/>
    <w:rsid w:val="00FB2BEF"/>
    <w:rsid w:val="00FB3BD2"/>
    <w:rsid w:val="00FB4EBA"/>
    <w:rsid w:val="00FB5804"/>
    <w:rsid w:val="00FB6F3A"/>
    <w:rsid w:val="00FB724C"/>
    <w:rsid w:val="00FB7FA1"/>
    <w:rsid w:val="00FC09A1"/>
    <w:rsid w:val="00FC0A8D"/>
    <w:rsid w:val="00FC0AC5"/>
    <w:rsid w:val="00FC1333"/>
    <w:rsid w:val="00FC1861"/>
    <w:rsid w:val="00FC31EE"/>
    <w:rsid w:val="00FC4267"/>
    <w:rsid w:val="00FC44A5"/>
    <w:rsid w:val="00FC5A25"/>
    <w:rsid w:val="00FC789E"/>
    <w:rsid w:val="00FD03F3"/>
    <w:rsid w:val="00FD257C"/>
    <w:rsid w:val="00FD2FC0"/>
    <w:rsid w:val="00FD37C1"/>
    <w:rsid w:val="00FD3AEE"/>
    <w:rsid w:val="00FD5A96"/>
    <w:rsid w:val="00FD6E5C"/>
    <w:rsid w:val="00FD757D"/>
    <w:rsid w:val="00FD7FD8"/>
    <w:rsid w:val="00FE05BC"/>
    <w:rsid w:val="00FE095D"/>
    <w:rsid w:val="00FE09A3"/>
    <w:rsid w:val="00FE1734"/>
    <w:rsid w:val="00FE2A34"/>
    <w:rsid w:val="00FE4262"/>
    <w:rsid w:val="00FE5FBA"/>
    <w:rsid w:val="00FF0D08"/>
    <w:rsid w:val="00FF2F2C"/>
    <w:rsid w:val="00FF2F6D"/>
    <w:rsid w:val="00FF3A0A"/>
    <w:rsid w:val="00FF473F"/>
  </w:rsids>
  <m:mathPr>
    <m:mathFont m:val="Cambria Math"/>
    <m:brkBin m:val="before"/>
    <m:brkBinSub m:val="--"/>
    <m:smallFrac/>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DD8C04"/>
  <w15:docId w15:val="{1C16FA63-E2D6-44A2-A2F2-5DDF9B5D8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46F10"/>
    <w:pPr>
      <w:spacing w:line="480" w:lineRule="auto"/>
    </w:pPr>
    <w:rPr>
      <w:rFonts w:ascii="Times New Roman" w:eastAsia="Times New Roman" w:hAnsi="Times New Roman" w:cs="Cordia New"/>
      <w:sz w:val="20"/>
    </w:rPr>
  </w:style>
  <w:style w:type="paragraph" w:styleId="1">
    <w:name w:val="heading 1"/>
    <w:aliases w:val="EPDE Section"/>
    <w:basedOn w:val="a"/>
    <w:next w:val="a0"/>
    <w:link w:val="10"/>
    <w:qFormat/>
    <w:rsid w:val="005C6A05"/>
    <w:pPr>
      <w:keepNext/>
      <w:outlineLvl w:val="0"/>
    </w:pPr>
    <w:rPr>
      <w:rFonts w:cs="Angsana New"/>
      <w:b/>
      <w:color w:val="000000"/>
      <w:kern w:val="28"/>
      <w:szCs w:val="24"/>
      <w:lang w:val="en-AU" w:eastAsia="zh-TW" w:bidi="ar-SA"/>
    </w:rPr>
  </w:style>
  <w:style w:type="paragraph" w:styleId="2">
    <w:name w:val="heading 2"/>
    <w:aliases w:val="EPDE Sub-section"/>
    <w:basedOn w:val="a"/>
    <w:next w:val="a0"/>
    <w:link w:val="20"/>
    <w:qFormat/>
    <w:rsid w:val="005C6A05"/>
    <w:pPr>
      <w:keepNext/>
      <w:outlineLvl w:val="1"/>
    </w:pPr>
    <w:rPr>
      <w:rFonts w:cs="Arial"/>
      <w:b/>
      <w:bCs/>
      <w:i/>
      <w:iCs/>
      <w:color w:val="000000"/>
      <w:lang w:val="en-AU" w:eastAsia="en-AU" w:bidi="ar-SA"/>
    </w:rPr>
  </w:style>
  <w:style w:type="paragraph" w:styleId="3">
    <w:name w:val="heading 3"/>
    <w:aliases w:val="EPDE Sub-sub-section"/>
    <w:basedOn w:val="a"/>
    <w:next w:val="a0"/>
    <w:link w:val="30"/>
    <w:qFormat/>
    <w:rsid w:val="005C6A05"/>
    <w:pPr>
      <w:keepNext/>
      <w:numPr>
        <w:ilvl w:val="2"/>
        <w:numId w:val="16"/>
      </w:numPr>
      <w:spacing w:before="120" w:after="120" w:line="240" w:lineRule="auto"/>
      <w:outlineLvl w:val="2"/>
    </w:pPr>
    <w:rPr>
      <w:rFonts w:ascii="Times" w:hAnsi="Times" w:cs="Arial"/>
      <w:bCs/>
      <w:i/>
      <w:szCs w:val="26"/>
      <w:lang w:val="en-AU" w:eastAsia="en-AU" w:bidi="ar-SA"/>
    </w:rPr>
  </w:style>
  <w:style w:type="paragraph" w:styleId="4">
    <w:name w:val="heading 4"/>
    <w:aliases w:val="EPDE Sub-Section"/>
    <w:basedOn w:val="a"/>
    <w:next w:val="a"/>
    <w:link w:val="40"/>
    <w:qFormat/>
    <w:rsid w:val="005C6A05"/>
    <w:pPr>
      <w:keepNext/>
      <w:numPr>
        <w:ilvl w:val="3"/>
        <w:numId w:val="16"/>
      </w:numPr>
      <w:spacing w:before="240" w:after="60" w:line="240" w:lineRule="auto"/>
      <w:outlineLvl w:val="3"/>
    </w:pPr>
    <w:rPr>
      <w:rFonts w:cs="Angsana New"/>
      <w:b/>
      <w:bCs/>
      <w:sz w:val="28"/>
      <w:lang w:val="en-AU" w:eastAsia="en-AU" w:bidi="ar-SA"/>
    </w:rPr>
  </w:style>
  <w:style w:type="paragraph" w:styleId="5">
    <w:name w:val="heading 5"/>
    <w:basedOn w:val="a"/>
    <w:next w:val="a"/>
    <w:link w:val="50"/>
    <w:qFormat/>
    <w:rsid w:val="005C6A05"/>
    <w:pPr>
      <w:numPr>
        <w:ilvl w:val="4"/>
        <w:numId w:val="16"/>
      </w:numPr>
      <w:spacing w:before="240" w:after="60" w:line="240" w:lineRule="auto"/>
      <w:outlineLvl w:val="4"/>
    </w:pPr>
    <w:rPr>
      <w:rFonts w:cs="Angsana New"/>
      <w:b/>
      <w:bCs/>
      <w:i/>
      <w:iCs/>
      <w:sz w:val="26"/>
      <w:szCs w:val="26"/>
      <w:lang w:val="en-AU" w:eastAsia="en-AU" w:bidi="ar-SA"/>
    </w:rPr>
  </w:style>
  <w:style w:type="paragraph" w:styleId="6">
    <w:name w:val="heading 6"/>
    <w:basedOn w:val="a"/>
    <w:next w:val="a"/>
    <w:link w:val="60"/>
    <w:qFormat/>
    <w:rsid w:val="005C6A05"/>
    <w:pPr>
      <w:numPr>
        <w:ilvl w:val="5"/>
        <w:numId w:val="16"/>
      </w:numPr>
      <w:spacing w:before="240" w:after="60" w:line="240" w:lineRule="auto"/>
      <w:outlineLvl w:val="5"/>
    </w:pPr>
    <w:rPr>
      <w:rFonts w:cs="Angsana New"/>
      <w:b/>
      <w:bCs/>
      <w:szCs w:val="22"/>
      <w:lang w:val="en-AU" w:eastAsia="en-AU" w:bidi="ar-SA"/>
    </w:rPr>
  </w:style>
  <w:style w:type="paragraph" w:styleId="7">
    <w:name w:val="heading 7"/>
    <w:basedOn w:val="a"/>
    <w:next w:val="a"/>
    <w:link w:val="70"/>
    <w:qFormat/>
    <w:rsid w:val="005C6A05"/>
    <w:pPr>
      <w:numPr>
        <w:ilvl w:val="6"/>
        <w:numId w:val="16"/>
      </w:numPr>
      <w:spacing w:before="240" w:after="60" w:line="240" w:lineRule="auto"/>
      <w:outlineLvl w:val="6"/>
    </w:pPr>
    <w:rPr>
      <w:rFonts w:cs="Angsana New"/>
      <w:sz w:val="24"/>
      <w:szCs w:val="24"/>
      <w:lang w:val="en-AU" w:eastAsia="en-AU" w:bidi="ar-SA"/>
    </w:rPr>
  </w:style>
  <w:style w:type="paragraph" w:styleId="8">
    <w:name w:val="heading 8"/>
    <w:basedOn w:val="a"/>
    <w:next w:val="a"/>
    <w:link w:val="80"/>
    <w:qFormat/>
    <w:rsid w:val="005C6A05"/>
    <w:pPr>
      <w:numPr>
        <w:ilvl w:val="7"/>
        <w:numId w:val="16"/>
      </w:numPr>
      <w:spacing w:before="240" w:after="60" w:line="240" w:lineRule="auto"/>
      <w:outlineLvl w:val="7"/>
    </w:pPr>
    <w:rPr>
      <w:rFonts w:cs="Angsana New"/>
      <w:i/>
      <w:iCs/>
      <w:sz w:val="24"/>
      <w:szCs w:val="24"/>
      <w:lang w:val="en-AU" w:eastAsia="en-AU" w:bidi="ar-SA"/>
    </w:rPr>
  </w:style>
  <w:style w:type="paragraph" w:styleId="9">
    <w:name w:val="heading 9"/>
    <w:basedOn w:val="a"/>
    <w:next w:val="a"/>
    <w:link w:val="90"/>
    <w:qFormat/>
    <w:rsid w:val="005C6A05"/>
    <w:pPr>
      <w:numPr>
        <w:ilvl w:val="8"/>
        <w:numId w:val="16"/>
      </w:numPr>
      <w:spacing w:before="240" w:after="60" w:line="240" w:lineRule="auto"/>
      <w:outlineLvl w:val="8"/>
    </w:pPr>
    <w:rPr>
      <w:rFonts w:ascii="Arial" w:hAnsi="Arial" w:cs="Arial"/>
      <w:szCs w:val="22"/>
      <w:lang w:val="en-AU" w:eastAsia="en-AU" w:bidi="ar-SA"/>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a5"/>
    <w:uiPriority w:val="99"/>
    <w:unhideWhenUsed/>
    <w:rsid w:val="00C46F10"/>
    <w:pPr>
      <w:tabs>
        <w:tab w:val="center" w:pos="4513"/>
        <w:tab w:val="right" w:pos="9026"/>
      </w:tabs>
      <w:spacing w:line="240" w:lineRule="auto"/>
    </w:pPr>
  </w:style>
  <w:style w:type="character" w:customStyle="1" w:styleId="a5">
    <w:name w:val="หัวกระดาษ อักขระ"/>
    <w:basedOn w:val="a1"/>
    <w:link w:val="a4"/>
    <w:uiPriority w:val="99"/>
    <w:rsid w:val="00C46F10"/>
  </w:style>
  <w:style w:type="paragraph" w:styleId="a6">
    <w:name w:val="footer"/>
    <w:basedOn w:val="a"/>
    <w:link w:val="a7"/>
    <w:unhideWhenUsed/>
    <w:rsid w:val="00C46F10"/>
    <w:pPr>
      <w:tabs>
        <w:tab w:val="center" w:pos="4513"/>
        <w:tab w:val="right" w:pos="9026"/>
      </w:tabs>
      <w:spacing w:line="240" w:lineRule="auto"/>
    </w:pPr>
  </w:style>
  <w:style w:type="character" w:customStyle="1" w:styleId="a7">
    <w:name w:val="ท้ายกระดาษ อักขระ"/>
    <w:basedOn w:val="a1"/>
    <w:link w:val="a6"/>
    <w:rsid w:val="00C46F10"/>
  </w:style>
  <w:style w:type="paragraph" w:styleId="a8">
    <w:name w:val="Balloon Text"/>
    <w:basedOn w:val="a"/>
    <w:link w:val="a9"/>
    <w:uiPriority w:val="99"/>
    <w:semiHidden/>
    <w:unhideWhenUsed/>
    <w:rsid w:val="00C46F10"/>
    <w:pPr>
      <w:spacing w:line="240" w:lineRule="auto"/>
    </w:pPr>
    <w:rPr>
      <w:rFonts w:ascii="Tahoma" w:hAnsi="Tahoma" w:cs="Angsana New"/>
      <w:sz w:val="16"/>
      <w:szCs w:val="20"/>
    </w:rPr>
  </w:style>
  <w:style w:type="character" w:customStyle="1" w:styleId="a9">
    <w:name w:val="ข้อความบอลลูน อักขระ"/>
    <w:basedOn w:val="a1"/>
    <w:link w:val="a8"/>
    <w:uiPriority w:val="99"/>
    <w:semiHidden/>
    <w:rsid w:val="00C46F10"/>
    <w:rPr>
      <w:rFonts w:ascii="Tahoma" w:hAnsi="Tahoma" w:cs="Angsana New"/>
      <w:sz w:val="16"/>
      <w:szCs w:val="20"/>
    </w:rPr>
  </w:style>
  <w:style w:type="character" w:styleId="aa">
    <w:name w:val="Intense Emphasis"/>
    <w:uiPriority w:val="21"/>
    <w:qFormat/>
    <w:rsid w:val="00C46F10"/>
    <w:rPr>
      <w:b/>
      <w:bCs/>
      <w:i/>
      <w:iCs/>
      <w:color w:val="4F81BD"/>
    </w:rPr>
  </w:style>
  <w:style w:type="character" w:styleId="ab">
    <w:name w:val="annotation reference"/>
    <w:basedOn w:val="a1"/>
    <w:uiPriority w:val="99"/>
    <w:semiHidden/>
    <w:unhideWhenUsed/>
    <w:rsid w:val="00C46F10"/>
    <w:rPr>
      <w:sz w:val="16"/>
      <w:szCs w:val="18"/>
    </w:rPr>
  </w:style>
  <w:style w:type="paragraph" w:styleId="ac">
    <w:name w:val="annotation text"/>
    <w:basedOn w:val="a"/>
    <w:link w:val="ad"/>
    <w:uiPriority w:val="99"/>
    <w:unhideWhenUsed/>
    <w:rsid w:val="00C46F10"/>
    <w:pPr>
      <w:spacing w:line="240" w:lineRule="auto"/>
    </w:pPr>
    <w:rPr>
      <w:szCs w:val="25"/>
    </w:rPr>
  </w:style>
  <w:style w:type="character" w:customStyle="1" w:styleId="ad">
    <w:name w:val="ข้อความข้อคิดเห็น อักขระ"/>
    <w:basedOn w:val="a1"/>
    <w:link w:val="ac"/>
    <w:uiPriority w:val="99"/>
    <w:rsid w:val="00C46F10"/>
    <w:rPr>
      <w:rFonts w:ascii="Calibri" w:eastAsia="Calibri" w:hAnsi="Calibri" w:cs="Cordia New"/>
      <w:sz w:val="20"/>
      <w:szCs w:val="25"/>
    </w:rPr>
  </w:style>
  <w:style w:type="paragraph" w:styleId="ae">
    <w:name w:val="annotation subject"/>
    <w:basedOn w:val="ac"/>
    <w:next w:val="ac"/>
    <w:link w:val="af"/>
    <w:uiPriority w:val="99"/>
    <w:semiHidden/>
    <w:unhideWhenUsed/>
    <w:rsid w:val="00C46F10"/>
    <w:rPr>
      <w:b/>
      <w:bCs/>
    </w:rPr>
  </w:style>
  <w:style w:type="character" w:customStyle="1" w:styleId="af">
    <w:name w:val="ชื่อเรื่องของข้อคิดเห็น อักขระ"/>
    <w:basedOn w:val="ad"/>
    <w:link w:val="ae"/>
    <w:uiPriority w:val="99"/>
    <w:semiHidden/>
    <w:rsid w:val="00C46F10"/>
    <w:rPr>
      <w:rFonts w:ascii="Calibri" w:eastAsia="Calibri" w:hAnsi="Calibri" w:cs="Cordia New"/>
      <w:b/>
      <w:bCs/>
      <w:sz w:val="20"/>
      <w:szCs w:val="25"/>
    </w:rPr>
  </w:style>
  <w:style w:type="paragraph" w:customStyle="1" w:styleId="Els-footnote">
    <w:name w:val="Els-footnote"/>
    <w:rsid w:val="00197EE2"/>
    <w:pPr>
      <w:keepLines/>
      <w:widowControl w:val="0"/>
      <w:spacing w:line="200" w:lineRule="exact"/>
      <w:ind w:left="120" w:hanging="120"/>
    </w:pPr>
    <w:rPr>
      <w:rFonts w:ascii="Times New Roman" w:eastAsia="Times New Roman" w:hAnsi="Times New Roman" w:cs="Angsana New"/>
      <w:sz w:val="16"/>
      <w:szCs w:val="16"/>
    </w:rPr>
  </w:style>
  <w:style w:type="character" w:styleId="af0">
    <w:name w:val="footnote reference"/>
    <w:semiHidden/>
    <w:rsid w:val="00197EE2"/>
    <w:rPr>
      <w:vertAlign w:val="superscript"/>
    </w:rPr>
  </w:style>
  <w:style w:type="paragraph" w:styleId="af1">
    <w:name w:val="No Spacing"/>
    <w:uiPriority w:val="1"/>
    <w:qFormat/>
    <w:rsid w:val="00197EE2"/>
    <w:pPr>
      <w:spacing w:line="240" w:lineRule="auto"/>
    </w:pPr>
    <w:rPr>
      <w:rFonts w:ascii="Calibri" w:eastAsia="Calibri" w:hAnsi="Calibri" w:cs="Cordia New"/>
    </w:rPr>
  </w:style>
  <w:style w:type="paragraph" w:customStyle="1" w:styleId="Els-Abstract-text">
    <w:name w:val="Els-Abstract-text"/>
    <w:rsid w:val="00197EE2"/>
    <w:pPr>
      <w:spacing w:after="220" w:line="220" w:lineRule="exact"/>
      <w:jc w:val="both"/>
    </w:pPr>
    <w:rPr>
      <w:rFonts w:ascii="Times New Roman" w:eastAsia="Times New Roman" w:hAnsi="Times New Roman" w:cs="Angsana New"/>
      <w:sz w:val="18"/>
      <w:szCs w:val="18"/>
    </w:rPr>
  </w:style>
  <w:style w:type="paragraph" w:customStyle="1" w:styleId="Els-Abstract-head">
    <w:name w:val="Els-Abstract-head"/>
    <w:next w:val="Els-Abstract-text"/>
    <w:rsid w:val="00197EE2"/>
    <w:pPr>
      <w:keepNext/>
      <w:pBdr>
        <w:top w:val="single" w:sz="4" w:space="10" w:color="auto"/>
      </w:pBdr>
      <w:suppressAutoHyphens/>
      <w:spacing w:after="220" w:line="220" w:lineRule="exact"/>
    </w:pPr>
    <w:rPr>
      <w:rFonts w:ascii="Times New Roman" w:eastAsia="Times New Roman" w:hAnsi="Times New Roman" w:cs="Angsana New"/>
      <w:b/>
      <w:bCs/>
      <w:sz w:val="18"/>
      <w:szCs w:val="18"/>
    </w:rPr>
  </w:style>
  <w:style w:type="paragraph" w:customStyle="1" w:styleId="Els-2ndorder-head">
    <w:name w:val="Els-2ndorder-head"/>
    <w:next w:val="a"/>
    <w:rsid w:val="005F164B"/>
    <w:pPr>
      <w:keepNext/>
      <w:numPr>
        <w:ilvl w:val="1"/>
        <w:numId w:val="1"/>
      </w:numPr>
      <w:suppressAutoHyphens/>
      <w:spacing w:before="240" w:after="240" w:line="240" w:lineRule="exact"/>
    </w:pPr>
    <w:rPr>
      <w:rFonts w:ascii="Times New Roman" w:eastAsia="Times New Roman" w:hAnsi="Times New Roman" w:cs="Angsana New"/>
      <w:i/>
      <w:iCs/>
      <w:sz w:val="20"/>
      <w:szCs w:val="20"/>
    </w:rPr>
  </w:style>
  <w:style w:type="paragraph" w:customStyle="1" w:styleId="Els-3rdorder-head">
    <w:name w:val="Els-3rdorder-head"/>
    <w:next w:val="a"/>
    <w:rsid w:val="005F164B"/>
    <w:pPr>
      <w:keepNext/>
      <w:numPr>
        <w:ilvl w:val="2"/>
        <w:numId w:val="1"/>
      </w:numPr>
      <w:suppressAutoHyphens/>
      <w:spacing w:before="240" w:line="240" w:lineRule="exact"/>
    </w:pPr>
    <w:rPr>
      <w:rFonts w:ascii="Times New Roman" w:eastAsia="Times New Roman" w:hAnsi="Times New Roman" w:cs="Angsana New"/>
      <w:i/>
      <w:iCs/>
      <w:sz w:val="20"/>
      <w:szCs w:val="20"/>
    </w:rPr>
  </w:style>
  <w:style w:type="paragraph" w:customStyle="1" w:styleId="Els-4thorder-head">
    <w:name w:val="Els-4thorder-head"/>
    <w:next w:val="a"/>
    <w:rsid w:val="005F164B"/>
    <w:pPr>
      <w:keepNext/>
      <w:numPr>
        <w:ilvl w:val="3"/>
        <w:numId w:val="1"/>
      </w:numPr>
      <w:suppressAutoHyphens/>
      <w:spacing w:before="240" w:line="240" w:lineRule="exact"/>
      <w:jc w:val="both"/>
    </w:pPr>
    <w:rPr>
      <w:rFonts w:ascii="Times New Roman" w:eastAsia="Times New Roman" w:hAnsi="Times New Roman" w:cs="Angsana New"/>
      <w:i/>
      <w:iCs/>
      <w:sz w:val="20"/>
      <w:szCs w:val="20"/>
    </w:rPr>
  </w:style>
  <w:style w:type="paragraph" w:customStyle="1" w:styleId="Els-1storder-head">
    <w:name w:val="Els-1storder-head"/>
    <w:next w:val="a"/>
    <w:rsid w:val="005F164B"/>
    <w:pPr>
      <w:keepNext/>
      <w:numPr>
        <w:numId w:val="1"/>
      </w:numPr>
      <w:suppressAutoHyphens/>
      <w:spacing w:before="480" w:after="240" w:line="240" w:lineRule="exact"/>
    </w:pPr>
    <w:rPr>
      <w:rFonts w:ascii="Times New Roman" w:eastAsia="Times New Roman" w:hAnsi="Times New Roman" w:cs="Angsana New"/>
      <w:b/>
      <w:bCs/>
      <w:sz w:val="20"/>
      <w:szCs w:val="20"/>
    </w:rPr>
  </w:style>
  <w:style w:type="paragraph" w:customStyle="1" w:styleId="Els-body-text">
    <w:name w:val="Els-body-text"/>
    <w:rsid w:val="005F164B"/>
    <w:pPr>
      <w:spacing w:line="240" w:lineRule="exact"/>
      <w:ind w:firstLine="240"/>
      <w:jc w:val="both"/>
    </w:pPr>
    <w:rPr>
      <w:rFonts w:ascii="Times New Roman" w:eastAsia="Times New Roman" w:hAnsi="Times New Roman" w:cs="Angsana New"/>
      <w:sz w:val="20"/>
      <w:szCs w:val="20"/>
    </w:rPr>
  </w:style>
  <w:style w:type="paragraph" w:customStyle="1" w:styleId="Els-numlist">
    <w:name w:val="Els-numlist"/>
    <w:basedOn w:val="Els-body-text"/>
    <w:rsid w:val="00B84D25"/>
    <w:pPr>
      <w:numPr>
        <w:numId w:val="2"/>
      </w:numPr>
      <w:tabs>
        <w:tab w:val="left" w:pos="240"/>
      </w:tabs>
      <w:jc w:val="left"/>
    </w:pPr>
  </w:style>
  <w:style w:type="paragraph" w:styleId="af2">
    <w:name w:val="List Paragraph"/>
    <w:basedOn w:val="a"/>
    <w:uiPriority w:val="34"/>
    <w:qFormat/>
    <w:rsid w:val="007900A8"/>
    <w:pPr>
      <w:ind w:left="720"/>
      <w:contextualSpacing/>
    </w:pPr>
  </w:style>
  <w:style w:type="character" w:styleId="af3">
    <w:name w:val="Emphasis"/>
    <w:basedOn w:val="a1"/>
    <w:uiPriority w:val="20"/>
    <w:qFormat/>
    <w:rsid w:val="00182BDB"/>
    <w:rPr>
      <w:i/>
      <w:iCs/>
    </w:rPr>
  </w:style>
  <w:style w:type="character" w:customStyle="1" w:styleId="apple-converted-space">
    <w:name w:val="apple-converted-space"/>
    <w:basedOn w:val="a1"/>
    <w:rsid w:val="00845525"/>
  </w:style>
  <w:style w:type="character" w:styleId="af4">
    <w:name w:val="Hyperlink"/>
    <w:basedOn w:val="a1"/>
    <w:uiPriority w:val="99"/>
    <w:unhideWhenUsed/>
    <w:rsid w:val="00845525"/>
    <w:rPr>
      <w:color w:val="0000FF"/>
      <w:u w:val="single"/>
    </w:rPr>
  </w:style>
  <w:style w:type="character" w:styleId="af5">
    <w:name w:val="line number"/>
    <w:basedOn w:val="a1"/>
    <w:uiPriority w:val="99"/>
    <w:semiHidden/>
    <w:unhideWhenUsed/>
    <w:rsid w:val="00852A93"/>
  </w:style>
  <w:style w:type="paragraph" w:styleId="a0">
    <w:name w:val="Body Text"/>
    <w:basedOn w:val="a"/>
    <w:link w:val="af6"/>
    <w:uiPriority w:val="99"/>
    <w:unhideWhenUsed/>
    <w:rsid w:val="00F35FD9"/>
    <w:pPr>
      <w:spacing w:after="120"/>
    </w:pPr>
  </w:style>
  <w:style w:type="character" w:customStyle="1" w:styleId="af6">
    <w:name w:val="เนื้อความ อักขระ"/>
    <w:basedOn w:val="a1"/>
    <w:link w:val="a0"/>
    <w:uiPriority w:val="99"/>
    <w:rsid w:val="00F35FD9"/>
    <w:rPr>
      <w:rFonts w:ascii="Calibri" w:eastAsia="Calibri" w:hAnsi="Calibri" w:cs="Cordia New"/>
    </w:rPr>
  </w:style>
  <w:style w:type="paragraph" w:styleId="af7">
    <w:name w:val="Body Text First Indent"/>
    <w:basedOn w:val="a0"/>
    <w:link w:val="af8"/>
    <w:rsid w:val="00F35FD9"/>
    <w:pPr>
      <w:overflowPunct w:val="0"/>
      <w:autoSpaceDE w:val="0"/>
      <w:autoSpaceDN w:val="0"/>
      <w:adjustRightInd w:val="0"/>
      <w:spacing w:line="200" w:lineRule="atLeast"/>
      <w:ind w:firstLine="210"/>
      <w:jc w:val="both"/>
      <w:textAlignment w:val="baseline"/>
    </w:pPr>
    <w:rPr>
      <w:rFonts w:ascii="Arial" w:hAnsi="Arial" w:cs="Angsana New"/>
      <w:sz w:val="18"/>
      <w:szCs w:val="20"/>
      <w:lang w:val="fr-FR" w:bidi="ar-SA"/>
    </w:rPr>
  </w:style>
  <w:style w:type="character" w:customStyle="1" w:styleId="af8">
    <w:name w:val="เยื้องย่อหน้าแรกของเนื้อความ อักขระ"/>
    <w:basedOn w:val="af6"/>
    <w:link w:val="af7"/>
    <w:rsid w:val="00F35FD9"/>
    <w:rPr>
      <w:rFonts w:ascii="Arial" w:eastAsia="Times New Roman" w:hAnsi="Arial" w:cs="Angsana New"/>
      <w:sz w:val="18"/>
      <w:szCs w:val="20"/>
      <w:lang w:val="fr-FR" w:bidi="ar-SA"/>
    </w:rPr>
  </w:style>
  <w:style w:type="character" w:styleId="af9">
    <w:name w:val="Placeholder Text"/>
    <w:basedOn w:val="a1"/>
    <w:uiPriority w:val="99"/>
    <w:semiHidden/>
    <w:rsid w:val="00FE4262"/>
    <w:rPr>
      <w:color w:val="808080"/>
    </w:rPr>
  </w:style>
  <w:style w:type="paragraph" w:styleId="afa">
    <w:name w:val="Title"/>
    <w:basedOn w:val="a"/>
    <w:link w:val="afb"/>
    <w:qFormat/>
    <w:rsid w:val="005734F0"/>
    <w:pPr>
      <w:overflowPunct w:val="0"/>
      <w:autoSpaceDE w:val="0"/>
      <w:autoSpaceDN w:val="0"/>
      <w:adjustRightInd w:val="0"/>
      <w:spacing w:before="240" w:after="60" w:line="200" w:lineRule="atLeast"/>
      <w:jc w:val="center"/>
      <w:textAlignment w:val="baseline"/>
    </w:pPr>
    <w:rPr>
      <w:rFonts w:ascii="Arial" w:hAnsi="Arial" w:cs="Angsana New"/>
      <w:b/>
      <w:kern w:val="28"/>
      <w:sz w:val="32"/>
      <w:szCs w:val="20"/>
      <w:lang w:val="fr-FR" w:bidi="ar-SA"/>
    </w:rPr>
  </w:style>
  <w:style w:type="character" w:customStyle="1" w:styleId="afb">
    <w:name w:val="ชื่อเรื่อง อักขระ"/>
    <w:basedOn w:val="a1"/>
    <w:link w:val="afa"/>
    <w:rsid w:val="005734F0"/>
    <w:rPr>
      <w:rFonts w:ascii="Arial" w:eastAsia="Times New Roman" w:hAnsi="Arial" w:cs="Angsana New"/>
      <w:b/>
      <w:kern w:val="28"/>
      <w:sz w:val="32"/>
      <w:szCs w:val="20"/>
      <w:lang w:val="fr-FR" w:bidi="ar-SA"/>
    </w:rPr>
  </w:style>
  <w:style w:type="paragraph" w:styleId="afc">
    <w:name w:val="envelope address"/>
    <w:basedOn w:val="a"/>
    <w:next w:val="a"/>
    <w:rsid w:val="00135316"/>
    <w:pPr>
      <w:overflowPunct w:val="0"/>
      <w:autoSpaceDE w:val="0"/>
      <w:autoSpaceDN w:val="0"/>
      <w:adjustRightInd w:val="0"/>
      <w:spacing w:before="60" w:after="60" w:line="200" w:lineRule="atLeast"/>
      <w:jc w:val="center"/>
      <w:textAlignment w:val="baseline"/>
    </w:pPr>
    <w:rPr>
      <w:rFonts w:ascii="Arial" w:hAnsi="Arial" w:cs="Angsana New"/>
      <w:sz w:val="18"/>
      <w:szCs w:val="20"/>
      <w:lang w:val="fr-FR" w:bidi="ar-SA"/>
    </w:rPr>
  </w:style>
  <w:style w:type="paragraph" w:styleId="afd">
    <w:name w:val="Revision"/>
    <w:hidden/>
    <w:uiPriority w:val="99"/>
    <w:semiHidden/>
    <w:rsid w:val="00D113A1"/>
    <w:pPr>
      <w:spacing w:line="240" w:lineRule="auto"/>
    </w:pPr>
    <w:rPr>
      <w:rFonts w:ascii="Calibri" w:eastAsia="Calibri" w:hAnsi="Calibri" w:cs="Cordia New"/>
    </w:rPr>
  </w:style>
  <w:style w:type="character" w:customStyle="1" w:styleId="UnresolvedMention1">
    <w:name w:val="Unresolved Mention1"/>
    <w:basedOn w:val="a1"/>
    <w:uiPriority w:val="99"/>
    <w:semiHidden/>
    <w:unhideWhenUsed/>
    <w:rsid w:val="006654A0"/>
    <w:rPr>
      <w:color w:val="605E5C"/>
      <w:shd w:val="clear" w:color="auto" w:fill="E1DFDD"/>
    </w:rPr>
  </w:style>
  <w:style w:type="paragraph" w:customStyle="1" w:styleId="Default">
    <w:name w:val="Default"/>
    <w:rsid w:val="005E2FFC"/>
    <w:pPr>
      <w:autoSpaceDE w:val="0"/>
      <w:autoSpaceDN w:val="0"/>
      <w:adjustRightInd w:val="0"/>
      <w:spacing w:line="240" w:lineRule="auto"/>
    </w:pPr>
    <w:rPr>
      <w:rFonts w:ascii="CM R 10" w:hAnsi="CM R 10" w:cs="CM R 10"/>
      <w:color w:val="000000"/>
      <w:sz w:val="24"/>
      <w:szCs w:val="24"/>
    </w:rPr>
  </w:style>
  <w:style w:type="character" w:customStyle="1" w:styleId="UnresolvedMention2">
    <w:name w:val="Unresolved Mention2"/>
    <w:basedOn w:val="a1"/>
    <w:uiPriority w:val="99"/>
    <w:semiHidden/>
    <w:unhideWhenUsed/>
    <w:rsid w:val="007C18A8"/>
    <w:rPr>
      <w:color w:val="605E5C"/>
      <w:shd w:val="clear" w:color="auto" w:fill="E1DFDD"/>
    </w:rPr>
  </w:style>
  <w:style w:type="paragraph" w:styleId="afe">
    <w:name w:val="Normal (Web)"/>
    <w:basedOn w:val="a"/>
    <w:uiPriority w:val="99"/>
    <w:unhideWhenUsed/>
    <w:rsid w:val="0098516E"/>
    <w:pPr>
      <w:spacing w:before="100" w:beforeAutospacing="1" w:after="100" w:afterAutospacing="1" w:line="240" w:lineRule="auto"/>
    </w:pPr>
    <w:rPr>
      <w:rFonts w:eastAsiaTheme="minorEastAsia" w:cs="Times New Roman"/>
      <w:sz w:val="24"/>
      <w:szCs w:val="24"/>
    </w:rPr>
  </w:style>
  <w:style w:type="table" w:styleId="aff">
    <w:name w:val="Table Grid"/>
    <w:basedOn w:val="a2"/>
    <w:uiPriority w:val="39"/>
    <w:rsid w:val="0098516E"/>
    <w:pPr>
      <w:spacing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หัวเรื่อง 1 อักขระ"/>
    <w:aliases w:val="EPDE Section อักขระ"/>
    <w:basedOn w:val="a1"/>
    <w:link w:val="1"/>
    <w:rsid w:val="005C6A05"/>
    <w:rPr>
      <w:rFonts w:ascii="Times" w:eastAsia="Times" w:hAnsi="Times" w:cs="Angsana New"/>
      <w:b/>
      <w:caps/>
      <w:kern w:val="28"/>
      <w:sz w:val="24"/>
      <w:szCs w:val="24"/>
      <w:lang w:val="en-AU" w:eastAsia="zh-TW" w:bidi="ar-SA"/>
    </w:rPr>
  </w:style>
  <w:style w:type="character" w:customStyle="1" w:styleId="20">
    <w:name w:val="หัวเรื่อง 2 อักขระ"/>
    <w:aliases w:val="EPDE Sub-section อักขระ"/>
    <w:basedOn w:val="a1"/>
    <w:link w:val="2"/>
    <w:rsid w:val="005C6A05"/>
    <w:rPr>
      <w:rFonts w:ascii="Times" w:eastAsia="Times New Roman" w:hAnsi="Times" w:cs="Arial"/>
      <w:b/>
      <w:bCs/>
      <w:i/>
      <w:iCs/>
      <w:sz w:val="24"/>
      <w:lang w:val="en-AU" w:eastAsia="en-AU" w:bidi="ar-SA"/>
    </w:rPr>
  </w:style>
  <w:style w:type="character" w:customStyle="1" w:styleId="30">
    <w:name w:val="หัวเรื่อง 3 อักขระ"/>
    <w:aliases w:val="EPDE Sub-sub-section อักขระ"/>
    <w:basedOn w:val="a1"/>
    <w:link w:val="3"/>
    <w:rsid w:val="005C6A05"/>
    <w:rPr>
      <w:rFonts w:ascii="Times" w:eastAsia="Times New Roman" w:hAnsi="Times" w:cs="Arial"/>
      <w:bCs/>
      <w:i/>
      <w:szCs w:val="26"/>
      <w:lang w:val="en-AU" w:eastAsia="en-AU" w:bidi="ar-SA"/>
    </w:rPr>
  </w:style>
  <w:style w:type="character" w:customStyle="1" w:styleId="40">
    <w:name w:val="หัวเรื่อง 4 อักขระ"/>
    <w:aliases w:val="EPDE Sub-Section อักขระ"/>
    <w:basedOn w:val="a1"/>
    <w:link w:val="4"/>
    <w:rsid w:val="005C6A05"/>
    <w:rPr>
      <w:rFonts w:ascii="Times New Roman" w:eastAsia="Times New Roman" w:hAnsi="Times New Roman" w:cs="Angsana New"/>
      <w:b/>
      <w:bCs/>
      <w:sz w:val="28"/>
      <w:lang w:val="en-AU" w:eastAsia="en-AU" w:bidi="ar-SA"/>
    </w:rPr>
  </w:style>
  <w:style w:type="character" w:customStyle="1" w:styleId="50">
    <w:name w:val="หัวเรื่อง 5 อักขระ"/>
    <w:basedOn w:val="a1"/>
    <w:link w:val="5"/>
    <w:rsid w:val="005C6A05"/>
    <w:rPr>
      <w:rFonts w:ascii="Times New Roman" w:eastAsia="Times New Roman" w:hAnsi="Times New Roman" w:cs="Angsana New"/>
      <w:b/>
      <w:bCs/>
      <w:i/>
      <w:iCs/>
      <w:sz w:val="26"/>
      <w:szCs w:val="26"/>
      <w:lang w:val="en-AU" w:eastAsia="en-AU" w:bidi="ar-SA"/>
    </w:rPr>
  </w:style>
  <w:style w:type="character" w:customStyle="1" w:styleId="60">
    <w:name w:val="หัวเรื่อง 6 อักขระ"/>
    <w:basedOn w:val="a1"/>
    <w:link w:val="6"/>
    <w:rsid w:val="005C6A05"/>
    <w:rPr>
      <w:rFonts w:ascii="Times New Roman" w:eastAsia="Times New Roman" w:hAnsi="Times New Roman" w:cs="Angsana New"/>
      <w:b/>
      <w:bCs/>
      <w:szCs w:val="22"/>
      <w:lang w:val="en-AU" w:eastAsia="en-AU" w:bidi="ar-SA"/>
    </w:rPr>
  </w:style>
  <w:style w:type="character" w:customStyle="1" w:styleId="70">
    <w:name w:val="หัวเรื่อง 7 อักขระ"/>
    <w:basedOn w:val="a1"/>
    <w:link w:val="7"/>
    <w:rsid w:val="005C6A05"/>
    <w:rPr>
      <w:rFonts w:ascii="Times New Roman" w:eastAsia="Times New Roman" w:hAnsi="Times New Roman" w:cs="Angsana New"/>
      <w:sz w:val="24"/>
      <w:szCs w:val="24"/>
      <w:lang w:val="en-AU" w:eastAsia="en-AU" w:bidi="ar-SA"/>
    </w:rPr>
  </w:style>
  <w:style w:type="character" w:customStyle="1" w:styleId="80">
    <w:name w:val="หัวเรื่อง 8 อักขระ"/>
    <w:basedOn w:val="a1"/>
    <w:link w:val="8"/>
    <w:rsid w:val="005C6A05"/>
    <w:rPr>
      <w:rFonts w:ascii="Times New Roman" w:eastAsia="Times New Roman" w:hAnsi="Times New Roman" w:cs="Angsana New"/>
      <w:i/>
      <w:iCs/>
      <w:sz w:val="24"/>
      <w:szCs w:val="24"/>
      <w:lang w:val="en-AU" w:eastAsia="en-AU" w:bidi="ar-SA"/>
    </w:rPr>
  </w:style>
  <w:style w:type="character" w:customStyle="1" w:styleId="90">
    <w:name w:val="หัวเรื่อง 9 อักขระ"/>
    <w:basedOn w:val="a1"/>
    <w:link w:val="9"/>
    <w:rsid w:val="005C6A05"/>
    <w:rPr>
      <w:rFonts w:ascii="Arial" w:eastAsia="Times New Roman" w:hAnsi="Arial" w:cs="Arial"/>
      <w:szCs w:val="22"/>
      <w:lang w:val="en-AU" w:eastAsia="en-AU" w:bidi="ar-SA"/>
    </w:rPr>
  </w:style>
  <w:style w:type="character" w:styleId="aff0">
    <w:name w:val="page number"/>
    <w:basedOn w:val="a1"/>
    <w:rsid w:val="005C6A05"/>
  </w:style>
  <w:style w:type="paragraph" w:customStyle="1" w:styleId="p1">
    <w:name w:val="p1"/>
    <w:basedOn w:val="a"/>
    <w:rsid w:val="005C6A05"/>
    <w:pPr>
      <w:spacing w:line="240" w:lineRule="auto"/>
    </w:pPr>
    <w:rPr>
      <w:rFonts w:ascii="Helvetica" w:eastAsia="Batang" w:hAnsi="Helvetica" w:cs="Angsana New"/>
      <w:sz w:val="15"/>
      <w:szCs w:val="15"/>
    </w:rPr>
  </w:style>
  <w:style w:type="paragraph" w:styleId="aff1">
    <w:name w:val="Bibliography"/>
    <w:basedOn w:val="a"/>
    <w:next w:val="a"/>
    <w:uiPriority w:val="37"/>
    <w:unhideWhenUsed/>
    <w:rsid w:val="005C6A05"/>
    <w:pPr>
      <w:tabs>
        <w:tab w:val="left" w:pos="384"/>
      </w:tabs>
      <w:spacing w:after="240" w:line="240" w:lineRule="auto"/>
      <w:ind w:left="384" w:hanging="384"/>
    </w:pPr>
  </w:style>
  <w:style w:type="character" w:customStyle="1" w:styleId="longtext1">
    <w:name w:val="long_text1"/>
    <w:basedOn w:val="a1"/>
    <w:rsid w:val="00D020D3"/>
    <w:rPr>
      <w:sz w:val="20"/>
      <w:szCs w:val="20"/>
    </w:rPr>
  </w:style>
  <w:style w:type="character" w:customStyle="1" w:styleId="UnresolvedMention3">
    <w:name w:val="Unresolved Mention3"/>
    <w:basedOn w:val="a1"/>
    <w:uiPriority w:val="99"/>
    <w:semiHidden/>
    <w:unhideWhenUsed/>
    <w:rsid w:val="00D020D3"/>
    <w:rPr>
      <w:color w:val="808080"/>
      <w:shd w:val="clear" w:color="auto" w:fill="E6E6E6"/>
    </w:rPr>
  </w:style>
  <w:style w:type="character" w:customStyle="1" w:styleId="UnresolvedMention4">
    <w:name w:val="Unresolved Mention4"/>
    <w:basedOn w:val="a1"/>
    <w:uiPriority w:val="99"/>
    <w:semiHidden/>
    <w:unhideWhenUsed/>
    <w:rsid w:val="0033744B"/>
    <w:rPr>
      <w:color w:val="605E5C"/>
      <w:shd w:val="clear" w:color="auto" w:fill="E1DFDD"/>
    </w:rPr>
  </w:style>
  <w:style w:type="paragraph" w:customStyle="1" w:styleId="21">
    <w:name w:val="제목2"/>
    <w:basedOn w:val="a"/>
    <w:link w:val="2Char"/>
    <w:rsid w:val="00882F53"/>
    <w:pPr>
      <w:widowControl w:val="0"/>
      <w:tabs>
        <w:tab w:val="right" w:pos="3969"/>
      </w:tabs>
      <w:adjustRightInd w:val="0"/>
      <w:snapToGrid w:val="0"/>
      <w:spacing w:beforeLines="20" w:before="20" w:line="200" w:lineRule="exact"/>
      <w:jc w:val="center"/>
    </w:pPr>
    <w:rPr>
      <w:rFonts w:eastAsia="-윤명조120" w:cs="Times New Roman"/>
      <w:bCs/>
      <w:i/>
      <w:snapToGrid w:val="0"/>
      <w:spacing w:val="-2"/>
      <w:sz w:val="16"/>
      <w:szCs w:val="20"/>
      <w:lang w:eastAsia="ja-JP" w:bidi="ar-SA"/>
    </w:rPr>
  </w:style>
  <w:style w:type="character" w:customStyle="1" w:styleId="2Char">
    <w:name w:val="제목2 Char"/>
    <w:link w:val="21"/>
    <w:rsid w:val="00882F53"/>
    <w:rPr>
      <w:rFonts w:ascii="Times New Roman" w:eastAsia="-윤명조120" w:hAnsi="Times New Roman" w:cs="Times New Roman"/>
      <w:bCs/>
      <w:i/>
      <w:snapToGrid w:val="0"/>
      <w:spacing w:val="-2"/>
      <w:sz w:val="16"/>
      <w:szCs w:val="20"/>
      <w:lang w:eastAsia="ja-JP" w:bidi="ar-SA"/>
    </w:rPr>
  </w:style>
  <w:style w:type="paragraph" w:customStyle="1" w:styleId="203">
    <w:name w:val="스타일 제목 2 + 단락 뒤: 0.3 줄"/>
    <w:basedOn w:val="2"/>
    <w:link w:val="203Char"/>
    <w:rsid w:val="002F1953"/>
    <w:pPr>
      <w:keepNext w:val="0"/>
      <w:widowControl w:val="0"/>
      <w:adjustRightInd w:val="0"/>
      <w:snapToGrid w:val="0"/>
      <w:spacing w:afterLines="30" w:after="108"/>
    </w:pPr>
    <w:rPr>
      <w:rFonts w:eastAsia="MS Mincho" w:cs="Batang"/>
      <w:i w:val="0"/>
      <w:iCs w:val="0"/>
      <w:snapToGrid w:val="0"/>
      <w:szCs w:val="20"/>
      <w:lang w:val="en-US" w:eastAsia="ja-JP"/>
    </w:rPr>
  </w:style>
  <w:style w:type="character" w:customStyle="1" w:styleId="203Char">
    <w:name w:val="스타일 제목 2 + 단락 뒤: 0.3 줄 Char"/>
    <w:link w:val="203"/>
    <w:rsid w:val="002F1953"/>
    <w:rPr>
      <w:rFonts w:ascii="Times New Roman" w:eastAsia="MS Mincho" w:hAnsi="Times New Roman" w:cs="Batang"/>
      <w:b/>
      <w:bCs/>
      <w:snapToGrid w:val="0"/>
      <w:sz w:val="20"/>
      <w:szCs w:val="20"/>
      <w:lang w:eastAsia="ja-JP" w:bidi="ar-SA"/>
    </w:rPr>
  </w:style>
  <w:style w:type="paragraph" w:customStyle="1" w:styleId="whitespace-normal">
    <w:name w:val="whitespace-normal"/>
    <w:basedOn w:val="a"/>
    <w:rsid w:val="00351ADD"/>
    <w:pPr>
      <w:spacing w:before="100" w:beforeAutospacing="1" w:after="100" w:afterAutospacing="1" w:line="240" w:lineRule="auto"/>
    </w:pPr>
    <w:rPr>
      <w:rFonts w:cs="Times New Roman"/>
      <w:sz w:val="24"/>
      <w:szCs w:val="24"/>
    </w:rPr>
  </w:style>
  <w:style w:type="character" w:styleId="aff2">
    <w:name w:val="Strong"/>
    <w:basedOn w:val="a1"/>
    <w:uiPriority w:val="22"/>
    <w:qFormat/>
    <w:rsid w:val="00351A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839601">
      <w:bodyDiv w:val="1"/>
      <w:marLeft w:val="0"/>
      <w:marRight w:val="0"/>
      <w:marTop w:val="0"/>
      <w:marBottom w:val="0"/>
      <w:divBdr>
        <w:top w:val="none" w:sz="0" w:space="0" w:color="auto"/>
        <w:left w:val="none" w:sz="0" w:space="0" w:color="auto"/>
        <w:bottom w:val="none" w:sz="0" w:space="0" w:color="auto"/>
        <w:right w:val="none" w:sz="0" w:space="0" w:color="auto"/>
      </w:divBdr>
    </w:div>
    <w:div w:id="527454975">
      <w:bodyDiv w:val="1"/>
      <w:marLeft w:val="0"/>
      <w:marRight w:val="0"/>
      <w:marTop w:val="0"/>
      <w:marBottom w:val="0"/>
      <w:divBdr>
        <w:top w:val="none" w:sz="0" w:space="0" w:color="auto"/>
        <w:left w:val="none" w:sz="0" w:space="0" w:color="auto"/>
        <w:bottom w:val="none" w:sz="0" w:space="0" w:color="auto"/>
        <w:right w:val="none" w:sz="0" w:space="0" w:color="auto"/>
      </w:divBdr>
    </w:div>
    <w:div w:id="1694263772">
      <w:bodyDiv w:val="1"/>
      <w:marLeft w:val="0"/>
      <w:marRight w:val="0"/>
      <w:marTop w:val="0"/>
      <w:marBottom w:val="0"/>
      <w:divBdr>
        <w:top w:val="none" w:sz="0" w:space="0" w:color="auto"/>
        <w:left w:val="none" w:sz="0" w:space="0" w:color="auto"/>
        <w:bottom w:val="none" w:sz="0" w:space="0" w:color="auto"/>
        <w:right w:val="none" w:sz="0" w:space="0" w:color="auto"/>
      </w:divBdr>
    </w:div>
    <w:div w:id="2040858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8F75B16-0798-4BDB-882F-C8A4183E4F6E}">
  <we:reference id="wa102925879"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7D179C-7CF9-4880-B1EE-FC26C0AF7C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4676</Words>
  <Characters>26656</Characters>
  <Application>Microsoft Office Word</Application>
  <DocSecurity>0</DocSecurity>
  <Lines>222</Lines>
  <Paragraphs>62</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Khon Kaen University</Company>
  <LinksUpToDate>false</LinksUpToDate>
  <CharactersWithSpaces>31270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Baseline sensitivity and robustness of bias-corrected CMIP6 daily precipitation-extreme projections for Uttaradit Province, Thailand</dc:title>
  <dc:subject>Audited CMIP6 precipitation-extreme projections for Uttaradit Province</dc:subject>
  <dc:creator>[Authors to be supplied]</dc:creator>
  <cp:keywords>Bias correction, Climate extremes, CMIP6, Model agreement, Precipitation, SSP scenarios, Thailand, Uncertainty</cp:keywords>
  <dc:description>Prepared in the supplied APST template; author metadata and declarations require confirmation.</dc:description>
  <cp:lastModifiedBy>Dr.Surasit Punyawansiri</cp:lastModifiedBy>
  <cp:revision>3</cp:revision>
  <cp:lastPrinted>2019-12-26T07:37:00Z</cp:lastPrinted>
  <dcterms:created xsi:type="dcterms:W3CDTF">2026-08-29T13:45:00Z</dcterms:created>
  <dcterms:modified xsi:type="dcterms:W3CDTF">2026-08-29T13:46:00Z</dcterms:modified>
</cp:coreProperties>
</file>