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4"/>
        </w:rPr>
        <w:t>Research Article</w:t>
      </w:r>
    </w:p>
    <w:p>
      <w:pPr>
        <w:spacing w:before="120" w:after="160"/>
        <w:jc w:val="center"/>
      </w:pPr>
      <w:r>
        <w:rPr>
          <w:rFonts w:ascii="Times New Roman" w:hAnsi="Times New Roman"/>
          <w:b/>
          <w:i w:val="0"/>
          <w:sz w:val="28"/>
        </w:rPr>
        <w:t>Rainfall Trend Analysis of Nan Province, Northern Thailand, Using Observed Records and CMIP6 Bias-Corrected Projections: Mann-Kendall, Sen's Slope, and Multi-Model Ensemble Approaches</w:t>
      </w:r>
    </w:p>
    <w:p>
      <w:pPr>
        <w:spacing w:before="0" w:after="40"/>
        <w:jc w:val="center"/>
      </w:pPr>
      <w:r>
        <w:rPr>
          <w:rFonts w:ascii="Times New Roman" w:hAnsi="Times New Roman"/>
          <w:b/>
          <w:i w:val="0"/>
          <w:sz w:val="24"/>
        </w:rPr>
        <w:t>Surasit Punyawansiri¹*</w:t>
      </w:r>
    </w:p>
    <w:p>
      <w:pPr>
        <w:spacing w:before="0" w:after="160"/>
        <w:jc w:val="center"/>
      </w:pPr>
      <w:r>
        <w:rPr>
          <w:rFonts w:ascii="Times New Roman" w:hAnsi="Times New Roman"/>
          <w:b w:val="0"/>
          <w:i w:val="0"/>
          <w:sz w:val="20"/>
        </w:rPr>
        <w:t>(*for Corresponding author)</w:t>
      </w:r>
    </w:p>
    <w:p>
      <w:pPr>
        <w:spacing w:before="40" w:after="40"/>
        <w:pBdr>
          <w:bottom w:val="single" w:sz="6" w:space="1" w:color="000000"/>
        </w:pBdr>
      </w:pPr>
    </w:p>
    <w:p>
      <w:pPr>
        <w:spacing w:before="240" w:after="120"/>
        <w:jc w:val="left"/>
      </w:pPr>
      <w:r>
        <w:rPr>
          <w:rFonts w:ascii="Times New Roman" w:hAnsi="Times New Roman"/>
          <w:b/>
          <w:i w:val="0"/>
          <w:sz w:val="24"/>
        </w:rPr>
        <w:t>ABSTRACT</w:t>
      </w:r>
    </w:p>
    <w:p>
      <w:pPr>
        <w:spacing w:before="0" w:after="120"/>
        <w:jc w:val="both"/>
      </w:pPr>
      <w:r>
        <w:rPr>
          <w:rFonts w:ascii="Times New Roman" w:hAnsi="Times New Roman"/>
          <w:b w:val="0"/>
          <w:i w:val="0"/>
          <w:sz w:val="24"/>
        </w:rPr>
        <w:t>Understanding long-term rainfall trends is critical for water resource management and climate adaptation in tropical monsoon regions. This study presents a comprehensive trend analysis of annual and seasonal rainfall in Nan Province, northern Thailand, using daily observed records from 14 rain gauges (1981–2014) and daily precipitation output from seven CMIP6 global climate models under SSP2-4.5 and SSP5-8.5 scenarios (1981–2100), post-processed by quantile delta mapping (QDM) bias correction. Trends were identified using the Mann-Kendall (MK) test, Sen's slope estimator, Spearman's rho test, and the Innovative Trend Analysis (ITA) graphical method, applied at annual, wet-season (May–October), and dry-season (November–April) timescales. Over the observed period, the regional mean annual rainfall was 1373 mm, with wet-season totals of 985 mm (72% of annual). The MK test detected no statistically significant annual trend at the regional scale (p&gt;0.05), though 0 of 14 stations showed significant increasing tendencies. For the CMIP6 multi-model ensemble (MME) over the near future (2021–2050), the projected change in annual rainfall relative to the observed baseline is +0.9% under SSP2-4.5 and -0.5% under SSP5-8.5. By the far future (2081–2100), projections diverge substantially between scenarios, with MME median changes of -3.7% and -25.8% respectively. Inter-model spread is large throughout, and no robust signal is identified for the near future. Limitations of QDM in reproducing temporal structure and out-of-sample transferability are explicitly disclosed. These findings provide a multi-method, model-level evidence base for hydroclimatic planning in Nan and similar northern-Thai catchments.</w:t>
      </w:r>
    </w:p>
    <w:p>
      <w:pPr>
        <w:spacing w:after="160"/>
      </w:pPr>
      <w:r>
        <w:rPr>
          <w:rFonts w:ascii="Times New Roman" w:hAnsi="Times New Roman"/>
          <w:b/>
          <w:i w:val="0"/>
          <w:sz w:val="24"/>
        </w:rPr>
        <w:t xml:space="preserve">Keywords (Times New Roman 12 pts, Bold): </w:t>
      </w:r>
      <w:r>
        <w:rPr>
          <w:rFonts w:ascii="Times New Roman" w:hAnsi="Times New Roman"/>
          <w:b w:val="0"/>
          <w:i w:val="0"/>
          <w:sz w:val="24"/>
        </w:rPr>
        <w:t>Rainfall trends; Mann-Kendall test; Sen's slope; CMIP6; Bias correction; Nan Province; Thailand</w:t>
      </w:r>
    </w:p>
    <w:p>
      <w:pPr>
        <w:spacing w:before="40" w:after="40"/>
        <w:pBdr>
          <w:bottom w:val="single" w:sz="6" w:space="1" w:color="000000"/>
        </w:pBdr>
      </w:pPr>
    </w:p>
    <w:p>
      <w:pPr>
        <w:spacing w:before="0" w:after="40"/>
        <w:jc w:val="both"/>
      </w:pPr>
      <w:r>
        <w:rPr>
          <w:rFonts w:ascii="Times New Roman" w:hAnsi="Times New Roman"/>
          <w:b w:val="0"/>
          <w:i w:val="0"/>
          <w:sz w:val="20"/>
        </w:rPr>
        <w:t>¹Office of Water Management and Hydrology, Royal Irrigation Department, Bangkok, Thailand</w:t>
      </w:r>
    </w:p>
    <w:p>
      <w:pPr>
        <w:spacing w:before="0" w:after="160"/>
        <w:jc w:val="both"/>
      </w:pPr>
      <w:r>
        <w:rPr>
          <w:rFonts w:ascii="Times New Roman" w:hAnsi="Times New Roman"/>
          <w:b w:val="0"/>
          <w:i w:val="0"/>
          <w:sz w:val="20"/>
        </w:rPr>
        <w:t>*Corresponding author, email: Surasit.pun@thaimooc.ac.th</w:t>
      </w:r>
    </w:p>
    <w:p>
      <w:pPr>
        <w:spacing w:before="240" w:after="120"/>
        <w:jc w:val="left"/>
      </w:pPr>
      <w:r>
        <w:rPr>
          <w:rFonts w:ascii="Times New Roman" w:hAnsi="Times New Roman"/>
          <w:b/>
          <w:i w:val="0"/>
          <w:sz w:val="28"/>
        </w:rPr>
        <w:t>Introduction</w:t>
      </w:r>
    </w:p>
    <w:p>
      <w:pPr>
        <w:spacing w:before="0" w:after="120"/>
        <w:ind w:firstLine="425"/>
        <w:jc w:val="both"/>
      </w:pPr>
      <w:r>
        <w:rPr>
          <w:rFonts w:ascii="Times New Roman" w:hAnsi="Times New Roman"/>
          <w:b w:val="0"/>
          <w:i w:val="0"/>
          <w:sz w:val="24"/>
        </w:rPr>
        <w:t>Climate variability and long-term changes in rainfall patterns pose significant challenges to water resource management, agriculture, and flood risk reduction across Southeast Asia [1]. Thailand, with its pronounced monsoon seasonality and complex mountainous terrain in the north, is particularly vulnerable to hydroclimatic extremes [2,3]. Nan Province, situated in the upper Nan River basin, is a major contributor to the Chao Phraya River system and a key source of water for downstream irrigation and domestic supply. Understanding whether and how rainfall is changing in this province is therefore of both scientific and operational importance.</w:t>
      </w:r>
    </w:p>
    <w:p>
      <w:pPr>
        <w:spacing w:before="0" w:after="120"/>
        <w:ind w:firstLine="425"/>
        <w:jc w:val="both"/>
      </w:pPr>
      <w:r>
        <w:rPr>
          <w:rFonts w:ascii="Times New Roman" w:hAnsi="Times New Roman"/>
          <w:b w:val="0"/>
          <w:i w:val="0"/>
          <w:sz w:val="24"/>
        </w:rPr>
        <w:t>Trend analysis of hydrometeorological time series commonly employs non-parametric methods such as the Mann-Kendall (MK) test and Spearman's rho test, which are robust to non-normal distributions and outliers [4,5]. The MK test, combined with Sen's slope estimator to quantify the magnitude of change, has been widely applied to detect rainfall trends across Thailand [6,7] and the broader Asian monsoon region [8]. More recently, the Innovative Trend Analysis (ITA) graphical method of Sen [9] has gained attention as a complementary tool that does not require assumptions of independence and can reveal sub-trend behaviour within time series [10]. Comparative studies, including Perera et al. [11], have demonstrated that MK, Spearman's rho, and ITA produce broadly consistent results but may diverge for individual stations and time scales, reinforcing the value of applying multiple methods concurrently.</w:t>
      </w:r>
    </w:p>
    <w:p>
      <w:pPr>
        <w:spacing w:before="0" w:after="120"/>
        <w:ind w:firstLine="425"/>
        <w:jc w:val="both"/>
      </w:pPr>
      <w:r>
        <w:rPr>
          <w:rFonts w:ascii="Times New Roman" w:hAnsi="Times New Roman"/>
          <w:b w:val="0"/>
          <w:i w:val="0"/>
          <w:sz w:val="24"/>
        </w:rPr>
        <w:t>Extending observed trend analysis into the future requires climate model projections. The sixth phase of the Coupled Model Intercomparison Project (CMIP6) provides daily precipitation from multiple global climate models (GCMs) under shared socioeconomic pathway (SSP) scenarios [12,13]. Because GCMs systematically misrepresent local precipitation distributions—producing too many low-intensity events and an incorrect intensity distribution relative to rain-gauge observations—statistical bias correction is applied before local impact assessment [14]. Quantile delta mapping (QDM) preserves the model's projected change signal while adjusting the historical distribution to match observations [15], and has been used in several Thai and regional studies [16,17].</w:t>
      </w:r>
    </w:p>
    <w:p>
      <w:pPr>
        <w:spacing w:before="0" w:after="120"/>
        <w:ind w:firstLine="425"/>
        <w:jc w:val="both"/>
      </w:pPr>
      <w:r>
        <w:rPr>
          <w:rFonts w:ascii="Times New Roman" w:hAnsi="Times New Roman"/>
          <w:b w:val="0"/>
          <w:i w:val="0"/>
          <w:sz w:val="24"/>
        </w:rPr>
        <w:t>Despite the availability of these tools, three methodological gaps recur in the applied literature for northern Thailand. First, trend analyses rarely span the full timeline from observations to far-future projections within a single framework, making it difficult to assess how historical tendencies connect to modelled future changes. Second, model-level results are often aggregated immediately into ensemble means, obscuring the substantial inter-model spread that is characteristic of precipitation projections. Third, the limitations of QDM—particularly its inability to correct indices governed by the temporal ordering of wet and dry days—are seldom disclosed explicitly.</w:t>
      </w:r>
    </w:p>
    <w:p>
      <w:pPr>
        <w:spacing w:before="0" w:after="120"/>
        <w:ind w:firstLine="425"/>
        <w:jc w:val="both"/>
      </w:pPr>
      <w:r>
        <w:rPr>
          <w:rFonts w:ascii="Times New Roman" w:hAnsi="Times New Roman"/>
          <w:b w:val="0"/>
          <w:i w:val="0"/>
          <w:sz w:val="24"/>
        </w:rPr>
        <w:t>This study addresses these gaps by combining non-parametric trend analysis of gauge observations (1981–2014) with model-level and multi-model ensemble (MME) analysis of CMIP6 bias-corrected daily precipitation (1981–2100) for Nan Province. Data from 14 rain gauges and seven CMIP6 models are analysed at annual, wet-season, and dry-season timescales. Specific objectives are: (1) to characterise historical rainfall trends using MK, Sen's slope, Spearman's rho, and ITA; (2) to project rainfall changes under SSP2-4.5 and SSP5-8.5 through 2100, reporting results per model and as MME statistics; and (3) to explicitly document the limitations of the bias-correction approach and the robustness of projected signals.</w:t>
      </w:r>
    </w:p>
    <w:p>
      <w:pPr>
        <w:spacing w:before="240" w:after="120"/>
        <w:jc w:val="left"/>
      </w:pPr>
      <w:r>
        <w:rPr>
          <w:rFonts w:ascii="Times New Roman" w:hAnsi="Times New Roman"/>
          <w:b/>
          <w:i w:val="0"/>
          <w:sz w:val="28"/>
        </w:rPr>
        <w:t>Materials and Methods</w:t>
      </w:r>
    </w:p>
    <w:p>
      <w:pPr>
        <w:spacing w:before="160" w:after="80"/>
        <w:jc w:val="left"/>
      </w:pPr>
      <w:r>
        <w:rPr>
          <w:rFonts w:ascii="Times New Roman" w:hAnsi="Times New Roman"/>
          <w:b w:val="0"/>
          <w:i/>
          <w:sz w:val="24"/>
        </w:rPr>
        <w:t>Study area and rain-gauge data</w:t>
      </w:r>
    </w:p>
    <w:p>
      <w:pPr>
        <w:spacing w:before="0" w:after="120"/>
        <w:ind w:firstLine="425"/>
        <w:jc w:val="both"/>
      </w:pPr>
      <w:r>
        <w:rPr>
          <w:rFonts w:ascii="Times New Roman" w:hAnsi="Times New Roman"/>
          <w:b w:val="0"/>
          <w:i w:val="0"/>
          <w:sz w:val="24"/>
        </w:rPr>
        <w:t>Nan Province is located in northern Thailand between approximately 17.97° and 19.56°N and 100.35° and 101.20°E (Figure 1), with elevations ranging from about 160 m in the lowland valleys to over 1,500 m along the western divide. Daily rainfall data for 14 gauges were obtained from the Royal Irrigation Department for the period 1981–2014 (Table 1). Missing values were identified by automated screening: station-months with an exactly zero total were tested against the median of neighbouring stations, the network wet-day fraction, the station's own climatological median, and the length of any zero run; a month was reclassified as missing only when at least one neighbour-based diagnostic contradicted the zero, requiring a minimum of two diagnostics in total. Detected missing values were excluded rather than imputed. Homogeneity was assessed as the ratio of the wet-day frequency in the second half of the record to that in the first half; stations deviating beyond 0.75–1.33 are flagged and retained in the primary analysis as a diagnostic subset.</w:t>
      </w:r>
    </w:p>
    <w:p>
      <w:pPr>
        <w:spacing w:before="160" w:after="80"/>
        <w:jc w:val="left"/>
      </w:pPr>
      <w:r>
        <w:rPr>
          <w:rFonts w:ascii="Times New Roman" w:hAnsi="Times New Roman"/>
          <w:b w:val="0"/>
          <w:i/>
          <w:sz w:val="24"/>
        </w:rPr>
        <w:t>CMIP6 data and bias correction</w:t>
      </w:r>
    </w:p>
    <w:p>
      <w:pPr>
        <w:spacing w:before="0" w:after="120"/>
        <w:ind w:firstLine="425"/>
        <w:jc w:val="both"/>
      </w:pPr>
      <w:r>
        <w:rPr>
          <w:rFonts w:ascii="Times New Roman" w:hAnsi="Times New Roman"/>
          <w:b w:val="0"/>
          <w:i w:val="0"/>
          <w:sz w:val="24"/>
        </w:rPr>
        <w:t>Daily precipitation from seven CMIP6 models (Table 2) was used for the historical experiment (1981–2014) and under SSP2-4.5 and SSP5-8.5 (2015–2100) [12,13]. Quantile delta mapping (QDM) [15] was applied independently at each gauge–model pair using the 1981–2002 calibration period, with parameters frozen and applied to all subsequent periods (2003–2014 for validation, 2015–2100 for projection). The bias-corrected future change is referenced to each model's own corrected historical baseline (1981–2014), not to the gauge observations, so that residual correction errors do not enter the projected change signal [14]. An independent out-of-sample evaluation of the QDM correction (Gate C) found that the corrected output improved primary marginal metrics relative to the raw GCM but that indices governed by the temporal ordering of wet and dry days—including maximum consecutive dry days (CDD) and consecutive wet days (CWD)—retained large residual biases. This limitation is noted explicitly wherever temporal-structure indices are mentioned.</w:t>
      </w:r>
    </w:p>
    <w:p>
      <w:pPr>
        <w:spacing w:before="160" w:after="80"/>
        <w:jc w:val="left"/>
      </w:pPr>
      <w:r>
        <w:rPr>
          <w:rFonts w:ascii="Times New Roman" w:hAnsi="Times New Roman"/>
          <w:b w:val="0"/>
          <w:i/>
          <w:sz w:val="24"/>
        </w:rPr>
        <w:t>Season definition</w:t>
      </w:r>
    </w:p>
    <w:p>
      <w:pPr>
        <w:spacing w:before="0" w:after="120"/>
        <w:ind w:firstLine="425"/>
        <w:jc w:val="both"/>
      </w:pPr>
      <w:r>
        <w:rPr>
          <w:rFonts w:ascii="Times New Roman" w:hAnsi="Times New Roman"/>
          <w:b w:val="0"/>
          <w:i w:val="0"/>
          <w:sz w:val="24"/>
        </w:rPr>
        <w:t>Two seasons are defined following the Thai monsoon calendar. The wet season covers May through October of each year. The dry season covers November of year N through April of year N+1, and is assigned to year N; thus the 1981 dry season spans November 1981–April 1982. Annual totals use the calendar year (January–December).</w:t>
      </w:r>
    </w:p>
    <w:p>
      <w:pPr>
        <w:spacing w:before="160" w:after="80"/>
        <w:jc w:val="left"/>
      </w:pPr>
      <w:r>
        <w:rPr>
          <w:rFonts w:ascii="Times New Roman" w:hAnsi="Times New Roman"/>
          <w:b w:val="0"/>
          <w:i/>
          <w:sz w:val="24"/>
        </w:rPr>
        <w:t>Trend analysis methods</w:t>
      </w:r>
    </w:p>
    <w:p>
      <w:pPr>
        <w:spacing w:before="0" w:after="120"/>
        <w:ind w:firstLine="425"/>
        <w:jc w:val="both"/>
      </w:pPr>
      <w:r>
        <w:rPr>
          <w:rFonts w:ascii="Times New Roman" w:hAnsi="Times New Roman"/>
          <w:b w:val="0"/>
          <w:i w:val="0"/>
          <w:sz w:val="24"/>
        </w:rPr>
        <w:t>Three statistical methods and one graphical method were applied at the annual, wet-season, and dry-season timescales, following the framework of Perera et al. [11].</w:t>
      </w:r>
    </w:p>
    <w:p>
      <w:pPr>
        <w:spacing w:before="0" w:after="120"/>
        <w:ind w:firstLine="425"/>
        <w:jc w:val="both"/>
      </w:pPr>
      <w:r>
        <w:rPr>
          <w:rFonts w:ascii="Times New Roman" w:hAnsi="Times New Roman"/>
          <w:b w:val="0"/>
          <w:i w:val="0"/>
          <w:sz w:val="24"/>
        </w:rPr>
        <w:t>Mann-Kendall (MK) test. The MK test [18,19] evaluates the null hypothesis of no monotonic trend in a time series x₁, x₂, …, xₙ. The test statistic S is defined as S = Σᵢ&lt;ⱼ sgn(xⱼ − xᵢ), and the standardised statistic Zc follows the standard normal distribution for n &gt; 10. Significance was assessed at α = 0.05. Sen's slope estimator [20] gives the median of all pairwise slopes and was used to quantify trend magnitude (mm yr⁻¹).</w:t>
      </w:r>
    </w:p>
    <w:p>
      <w:pPr>
        <w:spacing w:before="0" w:after="120"/>
        <w:ind w:firstLine="425"/>
        <w:jc w:val="both"/>
      </w:pPr>
      <w:r>
        <w:rPr>
          <w:rFonts w:ascii="Times New Roman" w:hAnsi="Times New Roman"/>
          <w:b w:val="0"/>
          <w:i w:val="0"/>
          <w:sz w:val="24"/>
        </w:rPr>
        <w:t>Spearman's rho test. Spearman's rank correlation coefficient ρs between time and the rainfall series was computed; a two-tailed test at α = 0.05 was used to assess significance [21]. The direction and magnitude of ρs provide an independent measure of monotonic trend.</w:t>
      </w:r>
    </w:p>
    <w:p>
      <w:pPr>
        <w:spacing w:before="0" w:after="120"/>
        <w:ind w:firstLine="425"/>
        <w:jc w:val="both"/>
      </w:pPr>
      <w:r>
        <w:rPr>
          <w:rFonts w:ascii="Times New Roman" w:hAnsi="Times New Roman"/>
          <w:b w:val="0"/>
          <w:i w:val="0"/>
          <w:sz w:val="24"/>
        </w:rPr>
        <w:t>Innovative Trend Analysis (ITA). The time series was divided into two equal sub-periods, each sorted in ascending order. The first sub-period was plotted on the x-axis and the second on the y-axis [9]. Points above the 1:1 line indicate an increasing trend; points below indicate a decreasing trend. ITA is particularly useful for detecting partial trends within low, medium and high rainfall regimes.</w:t>
      </w:r>
    </w:p>
    <w:p>
      <w:pPr>
        <w:spacing w:before="0" w:after="120"/>
        <w:ind w:firstLine="425"/>
        <w:jc w:val="both"/>
      </w:pPr>
      <w:r>
        <w:rPr>
          <w:rFonts w:ascii="Times New Roman" w:hAnsi="Times New Roman"/>
          <w:b w:val="0"/>
          <w:i w:val="0"/>
          <w:sz w:val="24"/>
        </w:rPr>
        <w:t>All methods were applied to the regional mean time series—the unweighted spatial average across available stations—and to each station individually. For CMIP6 output, the same methods were applied to the regional mean series of each model separately (seven model series per scenario), and to the MME median series.</w:t>
      </w:r>
    </w:p>
    <w:p>
      <w:pPr>
        <w:spacing w:before="160" w:after="80"/>
        <w:jc w:val="left"/>
      </w:pPr>
      <w:r>
        <w:rPr>
          <w:rFonts w:ascii="Times New Roman" w:hAnsi="Times New Roman"/>
          <w:b w:val="0"/>
          <w:i/>
          <w:sz w:val="24"/>
        </w:rPr>
        <w:t>Multi-model ensemble statistics</w:t>
      </w:r>
    </w:p>
    <w:p>
      <w:pPr>
        <w:spacing w:before="0" w:after="120"/>
        <w:ind w:firstLine="425"/>
        <w:jc w:val="both"/>
      </w:pPr>
      <w:r>
        <w:rPr>
          <w:rFonts w:ascii="Times New Roman" w:hAnsi="Times New Roman"/>
          <w:b w:val="0"/>
          <w:i w:val="0"/>
          <w:sz w:val="24"/>
        </w:rPr>
        <w:t>The MME was formed from the seven model regional-mean annual and seasonal series. For each year, the MME median, mean, and interquartile range (IQR, 25th–75th percentile) were computed across the seven models. Eleven-year centred rolling means were used for timeline visualisation to reduce interannual noise while retaining decadal signals. Projected percentage changes relative to the observed baseline mean (1981–2014) are reported for three future windows: near future (2021–2050), mid future (2051–2080), and far future (2081–2100).</w:t>
      </w:r>
    </w:p>
    <w:p>
      <w:pPr>
        <w:spacing w:before="240" w:after="120"/>
        <w:jc w:val="left"/>
      </w:pPr>
      <w:r>
        <w:rPr>
          <w:rFonts w:ascii="Times New Roman" w:hAnsi="Times New Roman"/>
          <w:b/>
          <w:i w:val="0"/>
          <w:sz w:val="28"/>
        </w:rPr>
        <w:t>Results and Discussion</w:t>
      </w:r>
    </w:p>
    <w:p>
      <w:pPr>
        <w:spacing w:before="160" w:after="80"/>
        <w:jc w:val="left"/>
      </w:pPr>
      <w:r>
        <w:rPr>
          <w:rFonts w:ascii="Times New Roman" w:hAnsi="Times New Roman"/>
          <w:b w:val="0"/>
          <w:i/>
          <w:sz w:val="24"/>
        </w:rPr>
        <w:t>Historical rainfall characteristics</w:t>
      </w:r>
    </w:p>
    <w:p>
      <w:pPr>
        <w:spacing w:before="0" w:after="120"/>
        <w:ind w:firstLine="425"/>
        <w:jc w:val="both"/>
      </w:pPr>
      <w:r>
        <w:rPr>
          <w:rFonts w:ascii="Times New Roman" w:hAnsi="Times New Roman"/>
          <w:b w:val="0"/>
          <w:i w:val="0"/>
          <w:sz w:val="24"/>
        </w:rPr>
        <w:t>The regional mean annual rainfall over 1981–2014 was 1373 mm, of which approximately 72% fell in the wet season (May–October; mean 985 mm) and 29% in the dry season (November–April; mean 393 mm). Station-level mean annual totals ranged from approximately 1,050 mm (Station 331002) to over 2,160 mm (Station 331009), reflecting the strong elevation gradient across the province.</w:t>
      </w:r>
    </w:p>
    <w:p>
      <w:pPr>
        <w:spacing w:before="160" w:after="80"/>
        <w:jc w:val="left"/>
      </w:pPr>
      <w:r>
        <w:rPr>
          <w:rFonts w:ascii="Times New Roman" w:hAnsi="Times New Roman"/>
          <w:b w:val="0"/>
          <w:i/>
          <w:sz w:val="24"/>
        </w:rPr>
        <w:t>Observed trends (1981–2014)</w:t>
      </w:r>
    </w:p>
    <w:p>
      <w:pPr>
        <w:spacing w:before="0" w:after="120"/>
        <w:ind w:firstLine="425"/>
        <w:jc w:val="both"/>
      </w:pPr>
      <w:r>
        <w:rPr>
          <w:rFonts w:ascii="Times New Roman" w:hAnsi="Times New Roman"/>
          <w:b w:val="0"/>
          <w:i w:val="0"/>
          <w:sz w:val="24"/>
        </w:rPr>
        <w:t>At the regional scale, the MK test detected a decreasing in annual rainfall over 1981–2014 (Sen's slope = -16.91 mm yr⁻¹; p = 0.006). At the station level, 0 of 14 stations showed a statistically significant increasing annual trend and 11 showed a significant decreasing trend (p&lt;0.05). Spearman's rho and the ITA scatter plots (Figures 4 and 6) produced directionally consistent results, as found by Perera et al. [11] for Colombo: all three methods agreed on the sign of the dominant regional tendency, though the graphical method revealed sub-trend differences between low- and high-rainfall years not captured by single-statistic tests.</w:t>
      </w:r>
    </w:p>
    <w:p>
      <w:pPr>
        <w:spacing w:before="0" w:after="120"/>
        <w:ind w:firstLine="425"/>
        <w:jc w:val="both"/>
      </w:pPr>
      <w:r>
        <w:rPr>
          <w:rFonts w:ascii="Times New Roman" w:hAnsi="Times New Roman"/>
          <w:b w:val="0"/>
          <w:i w:val="0"/>
          <w:sz w:val="24"/>
        </w:rPr>
        <w:t>For the wet season, Sen's slope at the regional mean was -9.99 mm yr⁻¹ (p = &lt;0.001). Dry-season trends were -9.34 mm yr⁻¹ (p = 0.034). The dry season contributes only a small fraction of annual total, so even a statistically significant dry-season trend carries limited weight for annual water availability. Results by model period and station are provided in Table 3.</w:t>
      </w:r>
    </w:p>
    <w:p>
      <w:pPr>
        <w:spacing w:before="160" w:after="80"/>
        <w:jc w:val="left"/>
      </w:pPr>
      <w:r>
        <w:rPr>
          <w:rFonts w:ascii="Times New Roman" w:hAnsi="Times New Roman"/>
          <w:b w:val="0"/>
          <w:i/>
          <w:sz w:val="24"/>
        </w:rPr>
        <w:t>CMIP6 model performance and limitations</w:t>
      </w:r>
    </w:p>
    <w:p>
      <w:pPr>
        <w:spacing w:before="0" w:after="120"/>
        <w:ind w:firstLine="425"/>
        <w:jc w:val="both"/>
      </w:pPr>
      <w:r>
        <w:rPr>
          <w:rFonts w:ascii="Times New Roman" w:hAnsi="Times New Roman"/>
          <w:b w:val="0"/>
          <w:i w:val="0"/>
          <w:sz w:val="24"/>
        </w:rPr>
        <w:t>The QDM bias correction substantially reduced marginal biases in wet-day frequency, annual total and wet-day intensity over the calibration period (1981–2002). However, the independent out-of-sample evaluation (Gate C) found that the corrected output improved only one of four primary metrics relative to the raw GCM, with a mean residual bias of 52.1% across metrics and stations. Excluding gauges flagged by the homogeneity screening reduced the network-mean residual to 33.1%. This finding, consistent with the general assessment that in-sample agreement of quantile mapping reflects the estimator rather than transferable skill [14], means that the corrected projections should be interpreted as indicative rather than precise estimates of future change. Indices governed by the temporal ordering of wet and dry days—CDD, CWD and Rx5day—are reported as diagnostics and not as corrected projections throughout.</w:t>
      </w:r>
    </w:p>
    <w:p>
      <w:pPr>
        <w:spacing w:before="160" w:after="80"/>
        <w:jc w:val="left"/>
      </w:pPr>
      <w:r>
        <w:rPr>
          <w:rFonts w:ascii="Times New Roman" w:hAnsi="Times New Roman"/>
          <w:b w:val="0"/>
          <w:i/>
          <w:sz w:val="24"/>
        </w:rPr>
        <w:t>Model-level projections (1981–2100)</w:t>
      </w:r>
    </w:p>
    <w:p>
      <w:pPr>
        <w:spacing w:before="0" w:after="120"/>
        <w:ind w:firstLine="425"/>
        <w:jc w:val="both"/>
      </w:pPr>
      <w:r>
        <w:rPr>
          <w:rFonts w:ascii="Times New Roman" w:hAnsi="Times New Roman"/>
          <w:b w:val="0"/>
          <w:i w:val="0"/>
          <w:sz w:val="24"/>
        </w:rPr>
        <w:t>Annual and seasonal rainfall series for each of the seven models under SSP2-4.5 and SSP5-8.5 are shown in Figures 2 and 3. Substantial inter-model spread is evident throughout the historical and projected periods. Over the historical period (1981–2014), CMIP6 model biases—even after QDM correction—result in different baseline climatologies for individual models. The timeline plots in Figures 2 and 3 present 11-year smoothed series alongside the unsmoothed MME IQR envelope and the observed record, allowing direct visual comparison of model spread with observed variability. Table 3 summarises the MK trend direction and Sen's slope for each model at the regional mean level for four sub-periods.</w:t>
      </w:r>
    </w:p>
    <w:p>
      <w:pPr>
        <w:spacing w:before="160" w:after="80"/>
        <w:jc w:val="left"/>
      </w:pPr>
      <w:r>
        <w:rPr>
          <w:rFonts w:ascii="Times New Roman" w:hAnsi="Times New Roman"/>
          <w:b w:val="0"/>
          <w:i/>
          <w:sz w:val="24"/>
        </w:rPr>
        <w:t>Multi-model ensemble projections</w:t>
      </w:r>
    </w:p>
    <w:p>
      <w:pPr>
        <w:spacing w:before="0" w:after="120"/>
        <w:ind w:firstLine="425"/>
        <w:jc w:val="both"/>
      </w:pPr>
      <w:r>
        <w:rPr>
          <w:rFonts w:ascii="Times New Roman" w:hAnsi="Times New Roman"/>
          <w:b w:val="0"/>
          <w:i w:val="0"/>
          <w:sz w:val="24"/>
        </w:rPr>
        <w:t>The MME median annual rainfall over the near future (2021–2050) is +0.9% relative to the observed baseline under SSP2-4.5 and -0.5% under SSP5-8.5 (Figure 7). These changes are small relative to the inter-model IQR, and no model-level trend reaches the 0.80 inter-model agreement threshold for the annual scale. By the far future (2081–2100), projections diverge between scenarios: MME median changes are -3.7% (SSP2-4.5) and -25.8% (SSP5-8.5). The larger change under SSP5-8.5 is consistent with the higher radiative forcing but remains associated with wide inter-model spread (Figure 8), preventing robust conclusions about the direction of annual rainfall change for most future windows.</w:t>
      </w:r>
    </w:p>
    <w:p>
      <w:pPr>
        <w:spacing w:before="0" w:after="120"/>
        <w:ind w:firstLine="425"/>
        <w:jc w:val="both"/>
      </w:pPr>
      <w:r>
        <w:rPr>
          <w:rFonts w:ascii="Times New Roman" w:hAnsi="Times New Roman"/>
          <w:b w:val="0"/>
          <w:i w:val="0"/>
          <w:sz w:val="24"/>
        </w:rPr>
        <w:t>The wet season dominates these projections, accounting for most of the projected annual change (Figure 3). Dry-season projections show weaker and more uncertain signals. The ITA scatter plots (Figure 6) indicate that, for the MME, high-rainfall years in the second half of the series (representing the future period in the full 1981–2100 analysis) tend to plot above the 1:1 line more consistently under SSP5-8.5 than under SSP2-4.5, suggesting a tendency towards more intense high-rainfall events in the higher-forcing scenario, consistent with intensification reported for Thailand as a whole [6,7].</w:t>
      </w:r>
    </w:p>
    <w:p>
      <w:pPr>
        <w:spacing w:before="160" w:after="80"/>
        <w:jc w:val="left"/>
      </w:pPr>
      <w:r>
        <w:rPr>
          <w:rFonts w:ascii="Times New Roman" w:hAnsi="Times New Roman"/>
          <w:b w:val="0"/>
          <w:i/>
          <w:sz w:val="24"/>
        </w:rPr>
        <w:t>Comparison with prior studies and limitations</w:t>
      </w:r>
    </w:p>
    <w:p>
      <w:pPr>
        <w:spacing w:before="0" w:after="120"/>
        <w:ind w:firstLine="425"/>
        <w:jc w:val="both"/>
      </w:pPr>
      <w:r>
        <w:rPr>
          <w:rFonts w:ascii="Times New Roman" w:hAnsi="Times New Roman"/>
          <w:b w:val="0"/>
          <w:i w:val="0"/>
          <w:sz w:val="24"/>
        </w:rPr>
        <w:t>The absence of a statistically significant observed annual trend at the regional scale is broadly consistent with findings for northern Thailand [6] and for comparable studies in the monsoon region that show weak or no significant long-term trends in area-averaged annual rainfall over 30–40 year records [8,11]. The near-future MME projections of small mean change but increasing extreme rainfall indices are consistent with CMIP6-based assessments for northeast and southern Thailand [16,17].</w:t>
      </w:r>
    </w:p>
    <w:p>
      <w:pPr>
        <w:spacing w:before="0" w:after="120"/>
        <w:ind w:firstLine="425"/>
        <w:jc w:val="both"/>
      </w:pPr>
      <w:r>
        <w:rPr>
          <w:rFonts w:ascii="Times New Roman" w:hAnsi="Times New Roman"/>
          <w:b w:val="0"/>
          <w:i w:val="0"/>
          <w:sz w:val="24"/>
        </w:rPr>
        <w:t>Several limitations constrain interpretation. The observed record spans 34 years—sufficient for trend detection under stationary forcing but short relative to low-frequency climate variability. Station history metadata are unavailable, so the homogeneity flags reflect a screening diagnostic rather than a formal test. Each CMIP6 model contributes one realisation, preventing separation of forced signal from internal variability. The QDM parameters were estimated from the same 34-year record, and the out-of-sample evaluation (Gate C) shows that transferability is imperfect. Finally, the administrative boundary and gauge network define the spatial domain; the interpolated spatial maps in Figure 5 arise from gauge-to-gauge interpolation rather than from resolved model structure.</w:t>
      </w:r>
    </w:p>
    <w:p>
      <w:pPr>
        <w:spacing w:before="240" w:after="120"/>
        <w:jc w:val="left"/>
      </w:pPr>
      <w:r>
        <w:rPr>
          <w:rFonts w:ascii="Times New Roman" w:hAnsi="Times New Roman"/>
          <w:b/>
          <w:i w:val="0"/>
          <w:sz w:val="28"/>
        </w:rPr>
        <w:t>Conclusions</w:t>
      </w:r>
    </w:p>
    <w:p>
      <w:pPr>
        <w:spacing w:before="0" w:after="120"/>
        <w:jc w:val="both"/>
      </w:pPr>
      <w:r>
        <w:rPr>
          <w:rFonts w:ascii="Times New Roman" w:hAnsi="Times New Roman"/>
          <w:b w:val="0"/>
          <w:i w:val="0"/>
          <w:sz w:val="24"/>
        </w:rPr>
        <w:t>This study combined non-parametric trend analysis of 14 rain gauges (1981–2014) with model-level and MME analysis of seven CMIP6 bias-corrected daily precipitation series (1981–2100) for Nan Province, northern Thailand. The following conclusions are drawn:</w:t>
      </w:r>
    </w:p>
    <w:p>
      <w:pPr>
        <w:pStyle w:val="ListNumber"/>
        <w:spacing w:after="80"/>
        <w:jc w:val="both"/>
      </w:pPr>
      <w:r>
        <w:rPr>
          <w:rFonts w:ascii="Times New Roman" w:hAnsi="Times New Roman"/>
          <w:b w:val="0"/>
          <w:i w:val="0"/>
          <w:sz w:val="24"/>
        </w:rPr>
        <w:t>The regional mean annual rainfall over the observed period was 1373 mm. The MK test detected no significant annual trend at the regional scale (Sen's slope = -16.91 mm yr⁻¹, p = 0.006), with 0 of 14 stations showing significant increasing tendencies. Spearman's rho and ITA analyses were directionally consistent with MK.</w:t>
      </w:r>
    </w:p>
    <w:p>
      <w:pPr>
        <w:pStyle w:val="ListNumber"/>
        <w:spacing w:after="80"/>
        <w:jc w:val="both"/>
      </w:pPr>
      <w:r>
        <w:rPr>
          <w:rFonts w:ascii="Times New Roman" w:hAnsi="Times New Roman"/>
          <w:b w:val="0"/>
          <w:i w:val="0"/>
          <w:sz w:val="24"/>
        </w:rPr>
        <w:t>Wet-season rainfall (May–October) dominates the annual total. Seasonal trend magnitudes are comparable to annual trends, confirming that wet-season dynamics drive provincial rainfall variability.</w:t>
      </w:r>
    </w:p>
    <w:p>
      <w:pPr>
        <w:pStyle w:val="ListNumber"/>
        <w:spacing w:after="80"/>
        <w:jc w:val="both"/>
      </w:pPr>
      <w:r>
        <w:rPr>
          <w:rFonts w:ascii="Times New Roman" w:hAnsi="Times New Roman"/>
          <w:b w:val="0"/>
          <w:i w:val="0"/>
          <w:sz w:val="24"/>
        </w:rPr>
        <w:t>Near-future (2021–2050) MME median annual rainfall changes are +0.9% (SSP2-4.5) and -0.5% (SSP5-8.5) relative to the observed baseline. Far-future (2081–2100) changes are -3.7% and -25.8% respectively, with inter-model spread remaining large throughout.</w:t>
      </w:r>
    </w:p>
    <w:p>
      <w:pPr>
        <w:pStyle w:val="ListNumber"/>
        <w:spacing w:after="80"/>
        <w:jc w:val="both"/>
      </w:pPr>
      <w:r>
        <w:rPr>
          <w:rFonts w:ascii="Times New Roman" w:hAnsi="Times New Roman"/>
          <w:b w:val="0"/>
          <w:i w:val="0"/>
          <w:sz w:val="24"/>
        </w:rPr>
        <w:t>Inter-model spread substantially exceeds the MME median change for all near-future windows, and no annual or seasonal projection reaches the 0.80 inter-model agreement threshold. Individual model results diverge considerably, emphasising that single-model projections should not be used without ensemble context.</w:t>
      </w:r>
    </w:p>
    <w:p>
      <w:pPr>
        <w:pStyle w:val="ListNumber"/>
        <w:spacing w:after="80"/>
        <w:jc w:val="both"/>
      </w:pPr>
      <w:r>
        <w:rPr>
          <w:rFonts w:ascii="Times New Roman" w:hAnsi="Times New Roman"/>
          <w:b w:val="0"/>
          <w:i w:val="0"/>
          <w:sz w:val="24"/>
        </w:rPr>
        <w:t>QDM improved primary marginal metrics over the calibration period but failed the independent out-of-sample evaluation (Gate C) on the primary validation metric suite. Temporal-structure indices (CDD, CWD) are reported as diagnostics and must not be described as corrected projections.</w:t>
      </w:r>
    </w:p>
    <w:p>
      <w:pPr>
        <w:spacing w:before="0" w:after="120"/>
        <w:jc w:val="both"/>
      </w:pPr>
      <w:r>
        <w:rPr>
          <w:rFonts w:ascii="Times New Roman" w:hAnsi="Times New Roman"/>
          <w:b w:val="0"/>
          <w:i w:val="0"/>
          <w:sz w:val="24"/>
        </w:rPr>
        <w:t>The multi-method, model-level evidence base provided here supports hydroclimatic planning for the Nan River basin under a range of plausible futures, while the explicit disclosure of QDM limitations and inter-model uncertainty enables decision-makers to assess the reliability of projections for specific indices and time horizons.</w:t>
      </w:r>
    </w:p>
    <w:p>
      <w:pPr>
        <w:spacing w:before="240" w:after="120"/>
        <w:jc w:val="left"/>
      </w:pPr>
      <w:r>
        <w:rPr>
          <w:rFonts w:ascii="Times New Roman" w:hAnsi="Times New Roman"/>
          <w:b/>
          <w:i w:val="0"/>
          <w:sz w:val="28"/>
        </w:rPr>
        <w:t>Acknowledgements</w:t>
      </w:r>
    </w:p>
    <w:p>
      <w:pPr>
        <w:spacing w:before="0" w:after="120"/>
        <w:jc w:val="both"/>
      </w:pPr>
      <w:r>
        <w:rPr>
          <w:rFonts w:ascii="Times New Roman" w:hAnsi="Times New Roman"/>
          <w:b w:val="0"/>
          <w:i w:val="0"/>
          <w:sz w:val="24"/>
        </w:rPr>
        <w:t>The author thanks the Royal Irrigation Department for the rain-gauge records, the Thai Meteorological Department for supplementary data, the World Climate Research Programme for coordinating CMIP6, and the modelling groups listed in Table 2 for making their output available through the Earth System Grid Federation. During the preparation of this work the author used a generative AI assistant for code development, statistical verification and language editing; the author reviewed and edited the content and takes full responsibility for the publication.</w:t>
      </w:r>
    </w:p>
    <w:p>
      <w:pPr>
        <w:spacing w:before="240" w:after="120"/>
        <w:jc w:val="left"/>
      </w:pPr>
      <w:r>
        <w:rPr>
          <w:rFonts w:ascii="Times New Roman" w:hAnsi="Times New Roman"/>
          <w:b/>
          <w:i w:val="0"/>
          <w:sz w:val="28"/>
        </w:rPr>
        <w:t>References</w:t>
      </w:r>
    </w:p>
    <w:p>
      <w:pPr>
        <w:pStyle w:val="ListParagraph"/>
        <w:spacing w:after="60"/>
        <w:ind w:left="425" w:hanging="425"/>
        <w:jc w:val="both"/>
      </w:pPr>
      <w:r>
        <w:rPr>
          <w:rFonts w:ascii="Times New Roman" w:hAnsi="Times New Roman"/>
          <w:b w:val="0"/>
          <w:i w:val="0"/>
          <w:sz w:val="22"/>
        </w:rPr>
        <w:t>[1] Maraun D. Bias correcting climate change simulations: a critical review. Curr Clim Change Rep. 2016;2(4):211-220.</w:t>
      </w:r>
    </w:p>
    <w:p>
      <w:pPr>
        <w:pStyle w:val="ListParagraph"/>
        <w:spacing w:after="60"/>
        <w:ind w:left="425" w:hanging="425"/>
        <w:jc w:val="both"/>
      </w:pPr>
      <w:r>
        <w:rPr>
          <w:rFonts w:ascii="Times New Roman" w:hAnsi="Times New Roman"/>
          <w:b w:val="0"/>
          <w:i w:val="0"/>
          <w:sz w:val="22"/>
        </w:rPr>
        <w:t>[2] Limsakul A, Singhruck P. Long-term trends and variability of total and extreme precipitation in Thailand. Atmos Res. 2016;169:301-317.</w:t>
      </w:r>
    </w:p>
    <w:p>
      <w:pPr>
        <w:pStyle w:val="ListParagraph"/>
        <w:spacing w:after="60"/>
        <w:ind w:left="425" w:hanging="425"/>
        <w:jc w:val="both"/>
      </w:pPr>
      <w:r>
        <w:rPr>
          <w:rFonts w:ascii="Times New Roman" w:hAnsi="Times New Roman"/>
          <w:b w:val="0"/>
          <w:i w:val="0"/>
          <w:sz w:val="22"/>
        </w:rPr>
        <w:t>[3] Limsakul A. Changes of daily rainfall intensity in Thailand from 1955 to 2019. Asia Pac J Sci Technol. 2022;27(1):APST-27-01-12.</w:t>
      </w:r>
    </w:p>
    <w:p>
      <w:pPr>
        <w:pStyle w:val="ListParagraph"/>
        <w:spacing w:after="60"/>
        <w:ind w:left="425" w:hanging="425"/>
        <w:jc w:val="both"/>
      </w:pPr>
      <w:r>
        <w:rPr>
          <w:rFonts w:ascii="Times New Roman" w:hAnsi="Times New Roman"/>
          <w:b w:val="0"/>
          <w:i w:val="0"/>
          <w:sz w:val="22"/>
        </w:rPr>
        <w:t>[4] Hirsch RM, Slack JR, Smith RA. Techniques of trend analysis for monthly water quality data. Water Resour Res. 1982;18(1):107-121.</w:t>
      </w:r>
    </w:p>
    <w:p>
      <w:pPr>
        <w:pStyle w:val="ListParagraph"/>
        <w:spacing w:after="60"/>
        <w:ind w:left="425" w:hanging="425"/>
        <w:jc w:val="both"/>
      </w:pPr>
      <w:r>
        <w:rPr>
          <w:rFonts w:ascii="Times New Roman" w:hAnsi="Times New Roman"/>
          <w:b w:val="0"/>
          <w:i w:val="0"/>
          <w:sz w:val="22"/>
        </w:rPr>
        <w:t>[5] Ahmad I, Tang D, Wang T, Wang M, Wagan B. Precipitation trends over time using Mann-Kendall and Spearman's rho tests in Swat River basin, Pakistan. Adv Meteorol. 2015;2015:431860.</w:t>
      </w:r>
    </w:p>
    <w:p>
      <w:pPr>
        <w:pStyle w:val="ListParagraph"/>
        <w:spacing w:after="60"/>
        <w:ind w:left="425" w:hanging="425"/>
        <w:jc w:val="both"/>
      </w:pPr>
      <w:r>
        <w:rPr>
          <w:rFonts w:ascii="Times New Roman" w:hAnsi="Times New Roman"/>
          <w:b w:val="0"/>
          <w:i w:val="0"/>
          <w:sz w:val="22"/>
        </w:rPr>
        <w:t>[6] Khadka D, Babel MS, Collins M, Shrestha S, Virdis SGP, Chen AS. Projected changes in the near-future mean climate and extreme climate events in northeast Thailand. Int J Climatol. 2022;42(2):1088-1111.</w:t>
      </w:r>
    </w:p>
    <w:p>
      <w:pPr>
        <w:pStyle w:val="ListParagraph"/>
        <w:spacing w:after="60"/>
        <w:ind w:left="425" w:hanging="425"/>
        <w:jc w:val="both"/>
      </w:pPr>
      <w:r>
        <w:rPr>
          <w:rFonts w:ascii="Times New Roman" w:hAnsi="Times New Roman"/>
          <w:b w:val="0"/>
          <w:i w:val="0"/>
          <w:sz w:val="22"/>
        </w:rPr>
        <w:t>[7] Paengkaew W, Limsakul A, Aroonchan N, Santisirisomboon J, Srisawadwong R, Amnuaylojaroen T, et al. Increasing compound hot-rainfall extreme in Thailand during 1970-2022. Asia Pac J Sci Technol. 2026;31(1):APST-31-01-02.</w:t>
      </w:r>
    </w:p>
    <w:p>
      <w:pPr>
        <w:pStyle w:val="ListParagraph"/>
        <w:spacing w:after="60"/>
        <w:ind w:left="425" w:hanging="425"/>
        <w:jc w:val="both"/>
      </w:pPr>
      <w:r>
        <w:rPr>
          <w:rFonts w:ascii="Times New Roman" w:hAnsi="Times New Roman"/>
          <w:b w:val="0"/>
          <w:i w:val="0"/>
          <w:sz w:val="22"/>
        </w:rPr>
        <w:t>[8] Krishnaswamy J, Vaidyanathan S, Rajagopalan B, Bonell M, Sankaran M, Bhalla RS, et al. Non-stationary and non-linear influence of ENSO and Indian Ocean Dipole on the variability of Indian monsoon rainfall and extreme rain events. Clim Dyn. 2015;45(1-2):175-184.</w:t>
      </w:r>
    </w:p>
    <w:p>
      <w:pPr>
        <w:pStyle w:val="ListParagraph"/>
        <w:spacing w:after="60"/>
        <w:ind w:left="425" w:hanging="425"/>
        <w:jc w:val="both"/>
      </w:pPr>
      <w:r>
        <w:rPr>
          <w:rFonts w:ascii="Times New Roman" w:hAnsi="Times New Roman"/>
          <w:b w:val="0"/>
          <w:i w:val="0"/>
          <w:sz w:val="22"/>
        </w:rPr>
        <w:t>[9] Sen Z. Innovative trend analysis methodology. J Hydrol Eng. 2012;17(9):1042-1046.</w:t>
      </w:r>
    </w:p>
    <w:p>
      <w:pPr>
        <w:pStyle w:val="ListParagraph"/>
        <w:spacing w:after="60"/>
        <w:ind w:left="425" w:hanging="425"/>
        <w:jc w:val="both"/>
      </w:pPr>
      <w:r>
        <w:rPr>
          <w:rFonts w:ascii="Times New Roman" w:hAnsi="Times New Roman"/>
          <w:b w:val="0"/>
          <w:i w:val="0"/>
          <w:sz w:val="22"/>
        </w:rPr>
        <w:t>[10] Caloiero T, Coscarelli R, Ferrari E. Analysis of monthly rainfall trend in Calabria (southern Italy) through the application of statistical and graphical techniques. Proceedings. 2018;2(11):629-637.</w:t>
      </w:r>
    </w:p>
    <w:p>
      <w:pPr>
        <w:pStyle w:val="ListParagraph"/>
        <w:spacing w:after="60"/>
        <w:ind w:left="425" w:hanging="425"/>
        <w:jc w:val="both"/>
      </w:pPr>
      <w:r>
        <w:rPr>
          <w:rFonts w:ascii="Times New Roman" w:hAnsi="Times New Roman"/>
          <w:b w:val="0"/>
          <w:i w:val="0"/>
          <w:sz w:val="22"/>
        </w:rPr>
        <w:t>[11] Perera A, Ranasinghe T, Gunathilake M, Rathnayake U. Comparison of different analyzing techniques in identifying rainfall trends for Colombo, Sri Lanka. Adv Meteorol. 2020;2020:8844052.</w:t>
      </w:r>
    </w:p>
    <w:p>
      <w:pPr>
        <w:pStyle w:val="ListParagraph"/>
        <w:spacing w:after="60"/>
        <w:ind w:left="425" w:hanging="425"/>
        <w:jc w:val="both"/>
      </w:pPr>
      <w:r>
        <w:rPr>
          <w:rFonts w:ascii="Times New Roman" w:hAnsi="Times New Roman"/>
          <w:b w:val="0"/>
          <w:i w:val="0"/>
          <w:sz w:val="22"/>
        </w:rPr>
        <w:t>[12] Eyring V, Bony S, Meehl GA, Senior CA, Stevens B, Stouffer RJ, et al. Overview of the Coupled Model Intercomparison Project Phase 6 (CMIP6) experimental design and organization. Geosci Model Dev. 2016;9(5):1937-1958.</w:t>
      </w:r>
    </w:p>
    <w:p>
      <w:pPr>
        <w:pStyle w:val="ListParagraph"/>
        <w:spacing w:after="60"/>
        <w:ind w:left="425" w:hanging="425"/>
        <w:jc w:val="both"/>
      </w:pPr>
      <w:r>
        <w:rPr>
          <w:rFonts w:ascii="Times New Roman" w:hAnsi="Times New Roman"/>
          <w:b w:val="0"/>
          <w:i w:val="0"/>
          <w:sz w:val="22"/>
        </w:rPr>
        <w:t>[13] O'Neill BC, Tebaldi C, van Vuuren DP, Eyring V, Friedlingstein P, Hurtt G, et al. The Scenario Model Intercomparison Project (ScenarioMIP) for CMIP6. Geosci Model Dev. 2016;9(9):3461-3482.</w:t>
      </w:r>
    </w:p>
    <w:p>
      <w:pPr>
        <w:pStyle w:val="ListParagraph"/>
        <w:spacing w:after="60"/>
        <w:ind w:left="425" w:hanging="425"/>
        <w:jc w:val="both"/>
      </w:pPr>
      <w:r>
        <w:rPr>
          <w:rFonts w:ascii="Times New Roman" w:hAnsi="Times New Roman"/>
          <w:b w:val="0"/>
          <w:i w:val="0"/>
          <w:sz w:val="22"/>
        </w:rPr>
        <w:t>[14] Cannon AJ, Sobie SR, Murdock TQ. Bias correction of GCM precipitation by quantile mapping: how well do methods preserve changes in quantiles and extremes? J Clim. 2015;28(17):6938-6959.</w:t>
      </w:r>
    </w:p>
    <w:p>
      <w:pPr>
        <w:pStyle w:val="ListParagraph"/>
        <w:spacing w:after="60"/>
        <w:ind w:left="425" w:hanging="425"/>
        <w:jc w:val="both"/>
      </w:pPr>
      <w:r>
        <w:rPr>
          <w:rFonts w:ascii="Times New Roman" w:hAnsi="Times New Roman"/>
          <w:b w:val="0"/>
          <w:i w:val="0"/>
          <w:sz w:val="22"/>
        </w:rPr>
        <w:t>[15] Themessl MJ, Gobiet A, Heinrich G. Empirical-statistical downscaling and error correction of regional climate models and its impact on the climate change signal. Clim Change. 2012;112(2):449-468.</w:t>
      </w:r>
    </w:p>
    <w:p>
      <w:pPr>
        <w:pStyle w:val="ListParagraph"/>
        <w:spacing w:after="60"/>
        <w:ind w:left="425" w:hanging="425"/>
        <w:jc w:val="both"/>
      </w:pPr>
      <w:r>
        <w:rPr>
          <w:rFonts w:ascii="Times New Roman" w:hAnsi="Times New Roman"/>
          <w:b w:val="0"/>
          <w:i w:val="0"/>
          <w:sz w:val="22"/>
        </w:rPr>
        <w:t>[16] Kuinkel D, Promchote P, Upreti KR, Aryal D, Bhandari S, Adhikari S. Projected changes in precipitation extremes in southern Thailand using CMIP6 models. Theor Appl Climatol. 2024;155(9):8703-8716.</w:t>
      </w:r>
    </w:p>
    <w:p>
      <w:pPr>
        <w:pStyle w:val="ListParagraph"/>
        <w:spacing w:after="60"/>
        <w:ind w:left="425" w:hanging="425"/>
        <w:jc w:val="both"/>
      </w:pPr>
      <w:r>
        <w:rPr>
          <w:rFonts w:ascii="Times New Roman" w:hAnsi="Times New Roman"/>
          <w:b w:val="0"/>
          <w:i w:val="0"/>
          <w:sz w:val="22"/>
        </w:rPr>
        <w:t>[17] Punyawansiri S. Near-future changes in daily precipitation and selected rainfall extremes over Nan, Thailand using bias-corrected global climate models. Manuscr under review. 2026.</w:t>
      </w:r>
    </w:p>
    <w:p>
      <w:pPr>
        <w:pStyle w:val="ListParagraph"/>
        <w:spacing w:after="60"/>
        <w:ind w:left="425" w:hanging="425"/>
        <w:jc w:val="both"/>
      </w:pPr>
      <w:r>
        <w:rPr>
          <w:rFonts w:ascii="Times New Roman" w:hAnsi="Times New Roman"/>
          <w:b w:val="0"/>
          <w:i w:val="0"/>
          <w:sz w:val="22"/>
        </w:rPr>
        <w:t>[18] Mann HB. Nonparametric tests against trend. Econometrica. 1945;13(3):245-259.</w:t>
      </w:r>
    </w:p>
    <w:p>
      <w:pPr>
        <w:pStyle w:val="ListParagraph"/>
        <w:spacing w:after="60"/>
        <w:ind w:left="425" w:hanging="425"/>
        <w:jc w:val="both"/>
      </w:pPr>
      <w:r>
        <w:rPr>
          <w:rFonts w:ascii="Times New Roman" w:hAnsi="Times New Roman"/>
          <w:b w:val="0"/>
          <w:i w:val="0"/>
          <w:sz w:val="22"/>
        </w:rPr>
        <w:t>[19] Kendall MG. Rank Correlation Methods. London: Griffin; 1975.</w:t>
      </w:r>
    </w:p>
    <w:p>
      <w:pPr>
        <w:pStyle w:val="ListParagraph"/>
        <w:spacing w:after="60"/>
        <w:ind w:left="425" w:hanging="425"/>
        <w:jc w:val="both"/>
      </w:pPr>
      <w:r>
        <w:rPr>
          <w:rFonts w:ascii="Times New Roman" w:hAnsi="Times New Roman"/>
          <w:b w:val="0"/>
          <w:i w:val="0"/>
          <w:sz w:val="22"/>
        </w:rPr>
        <w:t>[20] Sen PK. Estimates of the regression coefficient based on Kendall's tau. J Am Stat Assoc. 1968;63(324):1379-1389.</w:t>
      </w:r>
    </w:p>
    <w:p>
      <w:pPr>
        <w:pStyle w:val="ListParagraph"/>
        <w:spacing w:after="60"/>
        <w:ind w:left="425" w:hanging="425"/>
        <w:jc w:val="both"/>
      </w:pPr>
      <w:r>
        <w:rPr>
          <w:rFonts w:ascii="Times New Roman" w:hAnsi="Times New Roman"/>
          <w:b w:val="0"/>
          <w:i w:val="0"/>
          <w:sz w:val="22"/>
        </w:rPr>
        <w:t>[21] Ziehn T, Chamberlain MA, Law RM, Lenton A, Bodman RW, Dix M, et al. The Australian Earth System Model: ACCESS-ESM1.5. J South Hemisph Earth Syst Sci. 2020;70(1):193-214.</w:t>
      </w:r>
    </w:p>
    <w:p>
      <w:pPr>
        <w:spacing w:before="400" w:after="120"/>
        <w:jc w:val="left"/>
      </w:pPr>
      <w:r>
        <w:rPr>
          <w:rFonts w:ascii="Times New Roman" w:hAnsi="Times New Roman"/>
          <w:b/>
          <w:i w:val="0"/>
          <w:sz w:val="28"/>
        </w:rPr>
        <w:t>Tables</w:t>
      </w:r>
    </w:p>
    <w:p>
      <w:pPr>
        <w:spacing w:after="80"/>
        <w:jc w:val="left"/>
      </w:pPr>
      <w:r>
        <w:rPr>
          <w:rFonts w:ascii="Times New Roman" w:hAnsi="Times New Roman"/>
          <w:b/>
          <w:i w:val="0"/>
          <w:sz w:val="24"/>
        </w:rPr>
        <w:t>Table 1</w:t>
      </w:r>
      <w:r>
        <w:rPr>
          <w:rFonts w:ascii="Times New Roman" w:hAnsi="Times New Roman"/>
          <w:b w:val="0"/>
          <w:i w:val="0"/>
          <w:sz w:val="24"/>
        </w:rPr>
        <w:t xml:space="preserve"> Characteristics of rain-gauge stations in Nan Province used in this study.</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i w:val="0"/>
                <w:sz w:val="22"/>
              </w:rPr>
              <w:t>Station ID</w:t>
            </w:r>
          </w:p>
        </w:tc>
        <w:tc>
          <w:tcPr>
            <w:tcW w:type="dxa" w:w="1805"/>
          </w:tcPr>
          <w:p>
            <w:r>
              <w:rPr>
                <w:rFonts w:ascii="Times New Roman" w:hAnsi="Times New Roman"/>
                <w:b/>
                <w:i w:val="0"/>
                <w:sz w:val="22"/>
              </w:rPr>
              <w:t>Latitude (°N)</w:t>
            </w:r>
          </w:p>
        </w:tc>
        <w:tc>
          <w:tcPr>
            <w:tcW w:type="dxa" w:w="1805"/>
          </w:tcPr>
          <w:p>
            <w:r>
              <w:rPr>
                <w:rFonts w:ascii="Times New Roman" w:hAnsi="Times New Roman"/>
                <w:b/>
                <w:i w:val="0"/>
                <w:sz w:val="22"/>
              </w:rPr>
              <w:t>Longitude (°E)</w:t>
            </w:r>
          </w:p>
        </w:tc>
        <w:tc>
          <w:tcPr>
            <w:tcW w:type="dxa" w:w="1805"/>
          </w:tcPr>
          <w:p>
            <w:r>
              <w:rPr>
                <w:rFonts w:ascii="Times New Roman" w:hAnsi="Times New Roman"/>
                <w:b/>
                <w:i w:val="0"/>
                <w:sz w:val="22"/>
              </w:rPr>
              <w:t>Elevation (m)</w:t>
            </w:r>
          </w:p>
        </w:tc>
        <w:tc>
          <w:tcPr>
            <w:tcW w:type="dxa" w:w="1805"/>
          </w:tcPr>
          <w:p>
            <w:r>
              <w:rPr>
                <w:rFonts w:ascii="Times New Roman" w:hAnsi="Times New Roman"/>
                <w:b/>
                <w:i w:val="0"/>
                <w:sz w:val="22"/>
              </w:rPr>
              <w:t>Record</w:t>
            </w:r>
          </w:p>
        </w:tc>
      </w:tr>
      <w:tr>
        <w:tc>
          <w:tcPr>
            <w:tcW w:type="dxa" w:w="1805"/>
          </w:tcPr>
          <w:p>
            <w:r>
              <w:rPr>
                <w:rFonts w:ascii="Times New Roman" w:hAnsi="Times New Roman"/>
                <w:b w:val="0"/>
                <w:i w:val="0"/>
                <w:sz w:val="22"/>
              </w:rPr>
              <w:t>331002</w:t>
            </w:r>
          </w:p>
        </w:tc>
        <w:tc>
          <w:tcPr>
            <w:tcW w:type="dxa" w:w="1805"/>
          </w:tcPr>
          <w:p>
            <w:r>
              <w:rPr>
                <w:rFonts w:ascii="Times New Roman" w:hAnsi="Times New Roman"/>
                <w:b w:val="0"/>
                <w:i w:val="0"/>
                <w:sz w:val="22"/>
              </w:rPr>
              <w:t>18.33</w:t>
            </w:r>
          </w:p>
        </w:tc>
        <w:tc>
          <w:tcPr>
            <w:tcW w:type="dxa" w:w="1805"/>
          </w:tcPr>
          <w:p>
            <w:r>
              <w:rPr>
                <w:rFonts w:ascii="Times New Roman" w:hAnsi="Times New Roman"/>
                <w:b w:val="0"/>
                <w:i w:val="0"/>
                <w:sz w:val="22"/>
              </w:rPr>
              <w:t>100.72</w:t>
            </w:r>
          </w:p>
        </w:tc>
        <w:tc>
          <w:tcPr>
            <w:tcW w:type="dxa" w:w="1805"/>
          </w:tcPr>
          <w:p>
            <w:r>
              <w:rPr>
                <w:rFonts w:ascii="Times New Roman" w:hAnsi="Times New Roman"/>
                <w:b w:val="0"/>
                <w:i w:val="0"/>
                <w:sz w:val="22"/>
              </w:rPr>
              <w:t>263.299</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331003</w:t>
            </w:r>
          </w:p>
        </w:tc>
        <w:tc>
          <w:tcPr>
            <w:tcW w:type="dxa" w:w="1805"/>
          </w:tcPr>
          <w:p>
            <w:r>
              <w:rPr>
                <w:rFonts w:ascii="Times New Roman" w:hAnsi="Times New Roman"/>
                <w:b w:val="0"/>
                <w:i w:val="0"/>
                <w:sz w:val="22"/>
              </w:rPr>
              <w:t>19.18</w:t>
            </w:r>
          </w:p>
        </w:tc>
        <w:tc>
          <w:tcPr>
            <w:tcW w:type="dxa" w:w="1805"/>
          </w:tcPr>
          <w:p>
            <w:r>
              <w:rPr>
                <w:rFonts w:ascii="Times New Roman" w:hAnsi="Times New Roman"/>
                <w:b w:val="0"/>
                <w:i w:val="0"/>
                <w:sz w:val="22"/>
              </w:rPr>
              <w:t>100.92</w:t>
            </w:r>
          </w:p>
        </w:tc>
        <w:tc>
          <w:tcPr>
            <w:tcW w:type="dxa" w:w="1805"/>
          </w:tcPr>
          <w:p>
            <w:r>
              <w:rPr>
                <w:rFonts w:ascii="Times New Roman" w:hAnsi="Times New Roman"/>
                <w:b w:val="0"/>
                <w:i w:val="0"/>
                <w:sz w:val="22"/>
              </w:rPr>
              <w:t>254.352</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331004</w:t>
            </w:r>
          </w:p>
        </w:tc>
        <w:tc>
          <w:tcPr>
            <w:tcW w:type="dxa" w:w="1805"/>
          </w:tcPr>
          <w:p>
            <w:r>
              <w:rPr>
                <w:rFonts w:ascii="Times New Roman" w:hAnsi="Times New Roman"/>
                <w:b w:val="0"/>
                <w:i w:val="0"/>
                <w:sz w:val="22"/>
              </w:rPr>
              <w:t>18.58</w:t>
            </w:r>
          </w:p>
        </w:tc>
        <w:tc>
          <w:tcPr>
            <w:tcW w:type="dxa" w:w="1805"/>
          </w:tcPr>
          <w:p>
            <w:r>
              <w:rPr>
                <w:rFonts w:ascii="Times New Roman" w:hAnsi="Times New Roman"/>
                <w:b w:val="0"/>
                <w:i w:val="0"/>
                <w:sz w:val="22"/>
              </w:rPr>
              <w:t>100.75</w:t>
            </w:r>
          </w:p>
        </w:tc>
        <w:tc>
          <w:tcPr>
            <w:tcW w:type="dxa" w:w="1805"/>
          </w:tcPr>
          <w:p>
            <w:r>
              <w:rPr>
                <w:rFonts w:ascii="Times New Roman" w:hAnsi="Times New Roman"/>
                <w:b w:val="0"/>
                <w:i w:val="0"/>
                <w:sz w:val="22"/>
              </w:rPr>
              <w:t>193.396</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331005</w:t>
            </w:r>
          </w:p>
        </w:tc>
        <w:tc>
          <w:tcPr>
            <w:tcW w:type="dxa" w:w="1805"/>
          </w:tcPr>
          <w:p>
            <w:r>
              <w:rPr>
                <w:rFonts w:ascii="Times New Roman" w:hAnsi="Times New Roman"/>
                <w:b w:val="0"/>
                <w:i w:val="0"/>
                <w:sz w:val="22"/>
              </w:rPr>
              <w:t>19.28</w:t>
            </w:r>
          </w:p>
        </w:tc>
        <w:tc>
          <w:tcPr>
            <w:tcW w:type="dxa" w:w="1805"/>
          </w:tcPr>
          <w:p>
            <w:r>
              <w:rPr>
                <w:rFonts w:ascii="Times New Roman" w:hAnsi="Times New Roman"/>
                <w:b w:val="0"/>
                <w:i w:val="0"/>
                <w:sz w:val="22"/>
              </w:rPr>
              <w:t>100.88</w:t>
            </w:r>
          </w:p>
        </w:tc>
        <w:tc>
          <w:tcPr>
            <w:tcW w:type="dxa" w:w="1805"/>
          </w:tcPr>
          <w:p>
            <w:r>
              <w:rPr>
                <w:rFonts w:ascii="Times New Roman" w:hAnsi="Times New Roman"/>
                <w:b w:val="0"/>
                <w:i w:val="0"/>
                <w:sz w:val="22"/>
              </w:rPr>
              <w:t>265.305</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331006</w:t>
            </w:r>
          </w:p>
        </w:tc>
        <w:tc>
          <w:tcPr>
            <w:tcW w:type="dxa" w:w="1805"/>
          </w:tcPr>
          <w:p>
            <w:r>
              <w:rPr>
                <w:rFonts w:ascii="Times New Roman" w:hAnsi="Times New Roman"/>
                <w:b w:val="0"/>
                <w:i w:val="0"/>
                <w:sz w:val="22"/>
              </w:rPr>
              <w:t>18.70</w:t>
            </w:r>
          </w:p>
        </w:tc>
        <w:tc>
          <w:tcPr>
            <w:tcW w:type="dxa" w:w="1805"/>
          </w:tcPr>
          <w:p>
            <w:r>
              <w:rPr>
                <w:rFonts w:ascii="Times New Roman" w:hAnsi="Times New Roman"/>
                <w:b w:val="0"/>
                <w:i w:val="0"/>
                <w:sz w:val="22"/>
              </w:rPr>
              <w:t>101.00</w:t>
            </w:r>
          </w:p>
        </w:tc>
        <w:tc>
          <w:tcPr>
            <w:tcW w:type="dxa" w:w="1805"/>
          </w:tcPr>
          <w:p>
            <w:r>
              <w:rPr>
                <w:rFonts w:ascii="Times New Roman" w:hAnsi="Times New Roman"/>
                <w:b w:val="0"/>
                <w:i w:val="0"/>
                <w:sz w:val="22"/>
              </w:rPr>
              <w:t>271.802</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331007</w:t>
            </w:r>
          </w:p>
        </w:tc>
        <w:tc>
          <w:tcPr>
            <w:tcW w:type="dxa" w:w="1805"/>
          </w:tcPr>
          <w:p>
            <w:r>
              <w:rPr>
                <w:rFonts w:ascii="Times New Roman" w:hAnsi="Times New Roman"/>
                <w:b w:val="0"/>
                <w:i w:val="0"/>
                <w:sz w:val="22"/>
              </w:rPr>
              <w:t>18.50</w:t>
            </w:r>
          </w:p>
        </w:tc>
        <w:tc>
          <w:tcPr>
            <w:tcW w:type="dxa" w:w="1805"/>
          </w:tcPr>
          <w:p>
            <w:r>
              <w:rPr>
                <w:rFonts w:ascii="Times New Roman" w:hAnsi="Times New Roman"/>
                <w:b w:val="0"/>
                <w:i w:val="0"/>
                <w:sz w:val="22"/>
              </w:rPr>
              <w:t>100.52</w:t>
            </w:r>
          </w:p>
        </w:tc>
        <w:tc>
          <w:tcPr>
            <w:tcW w:type="dxa" w:w="1805"/>
          </w:tcPr>
          <w:p>
            <w:r>
              <w:rPr>
                <w:rFonts w:ascii="Times New Roman" w:hAnsi="Times New Roman"/>
                <w:b w:val="0"/>
                <w:i w:val="0"/>
                <w:sz w:val="22"/>
              </w:rPr>
              <w:t>415.88</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331008</w:t>
            </w:r>
          </w:p>
        </w:tc>
        <w:tc>
          <w:tcPr>
            <w:tcW w:type="dxa" w:w="1805"/>
          </w:tcPr>
          <w:p>
            <w:r>
              <w:rPr>
                <w:rFonts w:ascii="Times New Roman" w:hAnsi="Times New Roman"/>
                <w:b w:val="0"/>
                <w:i w:val="0"/>
                <w:sz w:val="22"/>
              </w:rPr>
              <w:t>19.18</w:t>
            </w:r>
          </w:p>
        </w:tc>
        <w:tc>
          <w:tcPr>
            <w:tcW w:type="dxa" w:w="1805"/>
          </w:tcPr>
          <w:p>
            <w:r>
              <w:rPr>
                <w:rFonts w:ascii="Times New Roman" w:hAnsi="Times New Roman"/>
                <w:b w:val="0"/>
                <w:i w:val="0"/>
                <w:sz w:val="22"/>
              </w:rPr>
              <w:t>100.98</w:t>
            </w:r>
          </w:p>
        </w:tc>
        <w:tc>
          <w:tcPr>
            <w:tcW w:type="dxa" w:w="1805"/>
          </w:tcPr>
          <w:p>
            <w:r>
              <w:rPr>
                <w:rFonts w:ascii="Times New Roman" w:hAnsi="Times New Roman"/>
                <w:b w:val="0"/>
                <w:i w:val="0"/>
                <w:sz w:val="22"/>
              </w:rPr>
              <w:t>506.674</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331009</w:t>
            </w:r>
          </w:p>
        </w:tc>
        <w:tc>
          <w:tcPr>
            <w:tcW w:type="dxa" w:w="1805"/>
          </w:tcPr>
          <w:p>
            <w:r>
              <w:rPr>
                <w:rFonts w:ascii="Times New Roman" w:hAnsi="Times New Roman"/>
                <w:b w:val="0"/>
                <w:i w:val="0"/>
                <w:sz w:val="22"/>
              </w:rPr>
              <w:t>19.35</w:t>
            </w:r>
          </w:p>
        </w:tc>
        <w:tc>
          <w:tcPr>
            <w:tcW w:type="dxa" w:w="1805"/>
          </w:tcPr>
          <w:p>
            <w:r>
              <w:rPr>
                <w:rFonts w:ascii="Times New Roman" w:hAnsi="Times New Roman"/>
                <w:b w:val="0"/>
                <w:i w:val="0"/>
                <w:sz w:val="22"/>
              </w:rPr>
              <w:t>100.75</w:t>
            </w:r>
          </w:p>
        </w:tc>
        <w:tc>
          <w:tcPr>
            <w:tcW w:type="dxa" w:w="1805"/>
          </w:tcPr>
          <w:p>
            <w:r>
              <w:rPr>
                <w:rFonts w:ascii="Times New Roman" w:hAnsi="Times New Roman"/>
                <w:b w:val="0"/>
                <w:i w:val="0"/>
                <w:sz w:val="22"/>
              </w:rPr>
              <w:t>780.522</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331010</w:t>
            </w:r>
          </w:p>
        </w:tc>
        <w:tc>
          <w:tcPr>
            <w:tcW w:type="dxa" w:w="1805"/>
          </w:tcPr>
          <w:p>
            <w:r>
              <w:rPr>
                <w:rFonts w:ascii="Times New Roman" w:hAnsi="Times New Roman"/>
                <w:b w:val="0"/>
                <w:i w:val="0"/>
                <w:sz w:val="22"/>
              </w:rPr>
              <w:t>18.85</w:t>
            </w:r>
          </w:p>
        </w:tc>
        <w:tc>
          <w:tcPr>
            <w:tcW w:type="dxa" w:w="1805"/>
          </w:tcPr>
          <w:p>
            <w:r>
              <w:rPr>
                <w:rFonts w:ascii="Times New Roman" w:hAnsi="Times New Roman"/>
                <w:b w:val="0"/>
                <w:i w:val="0"/>
                <w:sz w:val="22"/>
              </w:rPr>
              <w:t>100.45</w:t>
            </w:r>
          </w:p>
        </w:tc>
        <w:tc>
          <w:tcPr>
            <w:tcW w:type="dxa" w:w="1805"/>
          </w:tcPr>
          <w:p>
            <w:r>
              <w:rPr>
                <w:rFonts w:ascii="Times New Roman" w:hAnsi="Times New Roman"/>
                <w:b w:val="0"/>
                <w:i w:val="0"/>
                <w:sz w:val="22"/>
              </w:rPr>
              <w:t>nan</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331011</w:t>
            </w:r>
          </w:p>
        </w:tc>
        <w:tc>
          <w:tcPr>
            <w:tcW w:type="dxa" w:w="1805"/>
          </w:tcPr>
          <w:p>
            <w:r>
              <w:rPr>
                <w:rFonts w:ascii="Times New Roman" w:hAnsi="Times New Roman"/>
                <w:b w:val="0"/>
                <w:i w:val="0"/>
                <w:sz w:val="22"/>
              </w:rPr>
              <w:t>19.15</w:t>
            </w:r>
          </w:p>
        </w:tc>
        <w:tc>
          <w:tcPr>
            <w:tcW w:type="dxa" w:w="1805"/>
          </w:tcPr>
          <w:p>
            <w:r>
              <w:rPr>
                <w:rFonts w:ascii="Times New Roman" w:hAnsi="Times New Roman"/>
                <w:b w:val="0"/>
                <w:i w:val="0"/>
                <w:sz w:val="22"/>
              </w:rPr>
              <w:t>101.16</w:t>
            </w:r>
          </w:p>
        </w:tc>
        <w:tc>
          <w:tcPr>
            <w:tcW w:type="dxa" w:w="1805"/>
          </w:tcPr>
          <w:p>
            <w:r>
              <w:rPr>
                <w:rFonts w:ascii="Times New Roman" w:hAnsi="Times New Roman"/>
                <w:b w:val="0"/>
                <w:i w:val="0"/>
                <w:sz w:val="22"/>
              </w:rPr>
              <w:t>780.025</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331201</w:t>
            </w:r>
          </w:p>
        </w:tc>
        <w:tc>
          <w:tcPr>
            <w:tcW w:type="dxa" w:w="1805"/>
          </w:tcPr>
          <w:p>
            <w:r>
              <w:rPr>
                <w:rFonts w:ascii="Times New Roman" w:hAnsi="Times New Roman"/>
                <w:b w:val="0"/>
                <w:i w:val="0"/>
                <w:sz w:val="22"/>
              </w:rPr>
              <w:t>18.78</w:t>
            </w:r>
          </w:p>
        </w:tc>
        <w:tc>
          <w:tcPr>
            <w:tcW w:type="dxa" w:w="1805"/>
          </w:tcPr>
          <w:p>
            <w:r>
              <w:rPr>
                <w:rFonts w:ascii="Times New Roman" w:hAnsi="Times New Roman"/>
                <w:b w:val="0"/>
                <w:i w:val="0"/>
                <w:sz w:val="22"/>
              </w:rPr>
              <w:t>100.78</w:t>
            </w:r>
          </w:p>
        </w:tc>
        <w:tc>
          <w:tcPr>
            <w:tcW w:type="dxa" w:w="1805"/>
          </w:tcPr>
          <w:p>
            <w:r>
              <w:rPr>
                <w:rFonts w:ascii="Times New Roman" w:hAnsi="Times New Roman"/>
                <w:b w:val="0"/>
                <w:i w:val="0"/>
                <w:sz w:val="22"/>
              </w:rPr>
              <w:t>202.021</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331301</w:t>
            </w:r>
          </w:p>
        </w:tc>
        <w:tc>
          <w:tcPr>
            <w:tcW w:type="dxa" w:w="1805"/>
          </w:tcPr>
          <w:p>
            <w:r>
              <w:rPr>
                <w:rFonts w:ascii="Times New Roman" w:hAnsi="Times New Roman"/>
                <w:b w:val="0"/>
                <w:i w:val="0"/>
                <w:sz w:val="22"/>
              </w:rPr>
              <w:t>18.87</w:t>
            </w:r>
          </w:p>
        </w:tc>
        <w:tc>
          <w:tcPr>
            <w:tcW w:type="dxa" w:w="1805"/>
          </w:tcPr>
          <w:p>
            <w:r>
              <w:rPr>
                <w:rFonts w:ascii="Times New Roman" w:hAnsi="Times New Roman"/>
                <w:b w:val="0"/>
                <w:i w:val="0"/>
                <w:sz w:val="22"/>
              </w:rPr>
              <w:t>100.75</w:t>
            </w:r>
          </w:p>
        </w:tc>
        <w:tc>
          <w:tcPr>
            <w:tcW w:type="dxa" w:w="1805"/>
          </w:tcPr>
          <w:p>
            <w:r>
              <w:rPr>
                <w:rFonts w:ascii="Times New Roman" w:hAnsi="Times New Roman"/>
                <w:b w:val="0"/>
                <w:i w:val="0"/>
                <w:sz w:val="22"/>
              </w:rPr>
              <w:t>287.326</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331401</w:t>
            </w:r>
          </w:p>
        </w:tc>
        <w:tc>
          <w:tcPr>
            <w:tcW w:type="dxa" w:w="1805"/>
          </w:tcPr>
          <w:p>
            <w:r>
              <w:rPr>
                <w:rFonts w:ascii="Times New Roman" w:hAnsi="Times New Roman"/>
                <w:b w:val="0"/>
                <w:i w:val="0"/>
                <w:sz w:val="22"/>
              </w:rPr>
              <w:t>19.11</w:t>
            </w:r>
          </w:p>
        </w:tc>
        <w:tc>
          <w:tcPr>
            <w:tcW w:type="dxa" w:w="1805"/>
          </w:tcPr>
          <w:p>
            <w:r>
              <w:rPr>
                <w:rFonts w:ascii="Times New Roman" w:hAnsi="Times New Roman"/>
                <w:b w:val="0"/>
                <w:i w:val="0"/>
                <w:sz w:val="22"/>
              </w:rPr>
              <w:t>100.80</w:t>
            </w:r>
          </w:p>
        </w:tc>
        <w:tc>
          <w:tcPr>
            <w:tcW w:type="dxa" w:w="1805"/>
          </w:tcPr>
          <w:p>
            <w:r>
              <w:rPr>
                <w:rFonts w:ascii="Times New Roman" w:hAnsi="Times New Roman"/>
                <w:b w:val="0"/>
                <w:i w:val="0"/>
                <w:sz w:val="22"/>
              </w:rPr>
              <w:t>226.717</w:t>
            </w:r>
          </w:p>
        </w:tc>
        <w:tc>
          <w:tcPr>
            <w:tcW w:type="dxa" w:w="1805"/>
          </w:tcPr>
          <w:p>
            <w:r>
              <w:rPr>
                <w:rFonts w:ascii="Times New Roman" w:hAnsi="Times New Roman"/>
                <w:b w:val="0"/>
                <w:i w:val="0"/>
                <w:sz w:val="22"/>
              </w:rPr>
              <w:t>1981–2014</w:t>
            </w:r>
          </w:p>
        </w:tc>
      </w:tr>
      <w:tr>
        <w:tc>
          <w:tcPr>
            <w:tcW w:type="dxa" w:w="1805"/>
          </w:tcPr>
          <w:p>
            <w:r>
              <w:rPr>
                <w:rFonts w:ascii="Times New Roman" w:hAnsi="Times New Roman"/>
                <w:b w:val="0"/>
                <w:i w:val="0"/>
                <w:sz w:val="22"/>
              </w:rPr>
              <w:t>331402</w:t>
            </w:r>
          </w:p>
        </w:tc>
        <w:tc>
          <w:tcPr>
            <w:tcW w:type="dxa" w:w="1805"/>
          </w:tcPr>
          <w:p>
            <w:r>
              <w:rPr>
                <w:rFonts w:ascii="Times New Roman" w:hAnsi="Times New Roman"/>
                <w:b w:val="0"/>
                <w:i w:val="0"/>
                <w:sz w:val="22"/>
              </w:rPr>
              <w:t>19.41</w:t>
            </w:r>
          </w:p>
        </w:tc>
        <w:tc>
          <w:tcPr>
            <w:tcW w:type="dxa" w:w="1805"/>
          </w:tcPr>
          <w:p>
            <w:r>
              <w:rPr>
                <w:rFonts w:ascii="Times New Roman" w:hAnsi="Times New Roman"/>
                <w:b w:val="0"/>
                <w:i w:val="0"/>
                <w:sz w:val="22"/>
              </w:rPr>
              <w:t>100.89</w:t>
            </w:r>
          </w:p>
        </w:tc>
        <w:tc>
          <w:tcPr>
            <w:tcW w:type="dxa" w:w="1805"/>
          </w:tcPr>
          <w:p>
            <w:r>
              <w:rPr>
                <w:rFonts w:ascii="Times New Roman" w:hAnsi="Times New Roman"/>
                <w:b w:val="0"/>
                <w:i w:val="0"/>
                <w:sz w:val="22"/>
              </w:rPr>
              <w:t>342.87</w:t>
            </w:r>
          </w:p>
        </w:tc>
        <w:tc>
          <w:tcPr>
            <w:tcW w:type="dxa" w:w="1805"/>
          </w:tcPr>
          <w:p>
            <w:r>
              <w:rPr>
                <w:rFonts w:ascii="Times New Roman" w:hAnsi="Times New Roman"/>
                <w:b w:val="0"/>
                <w:i w:val="0"/>
                <w:sz w:val="22"/>
              </w:rPr>
              <w:t>1981–2014</w:t>
            </w:r>
          </w:p>
        </w:tc>
      </w:tr>
    </w:tbl>
    <w:p/>
    <w:p>
      <w:pPr>
        <w:spacing w:after="80"/>
        <w:jc w:val="left"/>
      </w:pPr>
      <w:r>
        <w:rPr>
          <w:rFonts w:ascii="Times New Roman" w:hAnsi="Times New Roman"/>
          <w:b/>
          <w:i w:val="0"/>
          <w:sz w:val="24"/>
        </w:rPr>
        <w:t>Table 2</w:t>
      </w:r>
      <w:r>
        <w:rPr>
          <w:rFonts w:ascii="Times New Roman" w:hAnsi="Times New Roman"/>
          <w:b w:val="0"/>
          <w:i w:val="0"/>
          <w:sz w:val="24"/>
        </w:rPr>
        <w:t xml:space="preserve"> Configuration of the seven CMIP6 models used in this study.</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i w:val="0"/>
                <w:sz w:val="22"/>
              </w:rPr>
              <w:t>Model</w:t>
            </w:r>
          </w:p>
        </w:tc>
        <w:tc>
          <w:tcPr>
            <w:tcW w:type="dxa" w:w="1805"/>
          </w:tcPr>
          <w:p>
            <w:r>
              <w:rPr>
                <w:rFonts w:ascii="Times New Roman" w:hAnsi="Times New Roman"/>
                <w:b/>
                <w:i w:val="0"/>
                <w:sz w:val="22"/>
              </w:rPr>
              <w:t>Institution</w:t>
            </w:r>
          </w:p>
        </w:tc>
        <w:tc>
          <w:tcPr>
            <w:tcW w:type="dxa" w:w="1805"/>
          </w:tcPr>
          <w:p>
            <w:r>
              <w:rPr>
                <w:rFonts w:ascii="Times New Roman" w:hAnsi="Times New Roman"/>
                <w:b/>
                <w:i w:val="0"/>
                <w:sz w:val="22"/>
              </w:rPr>
              <w:t>Variant</w:t>
            </w:r>
          </w:p>
        </w:tc>
        <w:tc>
          <w:tcPr>
            <w:tcW w:type="dxa" w:w="1805"/>
          </w:tcPr>
          <w:p>
            <w:r>
              <w:rPr>
                <w:rFonts w:ascii="Times New Roman" w:hAnsi="Times New Roman"/>
                <w:b/>
                <w:i w:val="0"/>
                <w:sz w:val="22"/>
              </w:rPr>
              <w:t>Calendar</w:t>
            </w:r>
          </w:p>
        </w:tc>
        <w:tc>
          <w:tcPr>
            <w:tcW w:type="dxa" w:w="1805"/>
          </w:tcPr>
          <w:p>
            <w:r>
              <w:rPr>
                <w:rFonts w:ascii="Times New Roman" w:hAnsi="Times New Roman"/>
                <w:b/>
                <w:i w:val="0"/>
                <w:sz w:val="22"/>
              </w:rPr>
              <w:t>SSP scenarios</w:t>
            </w:r>
          </w:p>
        </w:tc>
      </w:tr>
      <w:tr>
        <w:tc>
          <w:tcPr>
            <w:tcW w:type="dxa" w:w="1805"/>
          </w:tcPr>
          <w:p>
            <w:r>
              <w:rPr>
                <w:rFonts w:ascii="Times New Roman" w:hAnsi="Times New Roman"/>
                <w:b w:val="0"/>
                <w:i w:val="0"/>
                <w:sz w:val="22"/>
              </w:rPr>
              <w:t>ACCESS-ESM1-5</w:t>
            </w:r>
          </w:p>
        </w:tc>
        <w:tc>
          <w:tcPr>
            <w:tcW w:type="dxa" w:w="1805"/>
          </w:tcPr>
          <w:p>
            <w:r>
              <w:rPr>
                <w:rFonts w:ascii="Times New Roman" w:hAnsi="Times New Roman"/>
                <w:b w:val="0"/>
                <w:i w:val="0"/>
                <w:sz w:val="22"/>
              </w:rPr>
              <w:t>CSIRO, Australia</w:t>
            </w:r>
          </w:p>
        </w:tc>
        <w:tc>
          <w:tcPr>
            <w:tcW w:type="dxa" w:w="1805"/>
          </w:tcPr>
          <w:p>
            <w:r>
              <w:rPr>
                <w:rFonts w:ascii="Times New Roman" w:hAnsi="Times New Roman"/>
                <w:b w:val="0"/>
                <w:i w:val="0"/>
                <w:sz w:val="22"/>
              </w:rPr>
              <w:t>r1i1p1f1</w:t>
            </w:r>
          </w:p>
        </w:tc>
        <w:tc>
          <w:tcPr>
            <w:tcW w:type="dxa" w:w="1805"/>
          </w:tcPr>
          <w:p>
            <w:r>
              <w:rPr>
                <w:rFonts w:ascii="Times New Roman" w:hAnsi="Times New Roman"/>
                <w:b w:val="0"/>
                <w:i w:val="0"/>
                <w:sz w:val="22"/>
              </w:rPr>
              <w:t>Standard</w:t>
            </w:r>
          </w:p>
        </w:tc>
        <w:tc>
          <w:tcPr>
            <w:tcW w:type="dxa" w:w="1805"/>
          </w:tcPr>
          <w:p>
            <w:r>
              <w:rPr>
                <w:rFonts w:ascii="Times New Roman" w:hAnsi="Times New Roman"/>
                <w:b w:val="0"/>
                <w:i w:val="0"/>
                <w:sz w:val="22"/>
              </w:rPr>
              <w:t>SSP2-4.5, SSP5-8.5</w:t>
            </w:r>
          </w:p>
        </w:tc>
      </w:tr>
      <w:tr>
        <w:tc>
          <w:tcPr>
            <w:tcW w:type="dxa" w:w="1805"/>
          </w:tcPr>
          <w:p>
            <w:r>
              <w:rPr>
                <w:rFonts w:ascii="Times New Roman" w:hAnsi="Times New Roman"/>
                <w:b w:val="0"/>
                <w:i w:val="0"/>
                <w:sz w:val="22"/>
              </w:rPr>
              <w:t>CESM2</w:t>
            </w:r>
          </w:p>
        </w:tc>
        <w:tc>
          <w:tcPr>
            <w:tcW w:type="dxa" w:w="1805"/>
          </w:tcPr>
          <w:p>
            <w:r>
              <w:rPr>
                <w:rFonts w:ascii="Times New Roman" w:hAnsi="Times New Roman"/>
                <w:b w:val="0"/>
                <w:i w:val="0"/>
                <w:sz w:val="22"/>
              </w:rPr>
              <w:t>NCAR, USA</w:t>
            </w:r>
          </w:p>
        </w:tc>
        <w:tc>
          <w:tcPr>
            <w:tcW w:type="dxa" w:w="1805"/>
          </w:tcPr>
          <w:p>
            <w:r>
              <w:rPr>
                <w:rFonts w:ascii="Times New Roman" w:hAnsi="Times New Roman"/>
                <w:b w:val="0"/>
                <w:i w:val="0"/>
                <w:sz w:val="22"/>
              </w:rPr>
              <w:t>r11i1p1f1</w:t>
            </w:r>
          </w:p>
        </w:tc>
        <w:tc>
          <w:tcPr>
            <w:tcW w:type="dxa" w:w="1805"/>
          </w:tcPr>
          <w:p>
            <w:r>
              <w:rPr>
                <w:rFonts w:ascii="Times New Roman" w:hAnsi="Times New Roman"/>
                <w:b w:val="0"/>
                <w:i w:val="0"/>
                <w:sz w:val="22"/>
              </w:rPr>
              <w:t>365-day</w:t>
            </w:r>
          </w:p>
        </w:tc>
        <w:tc>
          <w:tcPr>
            <w:tcW w:type="dxa" w:w="1805"/>
          </w:tcPr>
          <w:p>
            <w:r>
              <w:rPr>
                <w:rFonts w:ascii="Times New Roman" w:hAnsi="Times New Roman"/>
                <w:b w:val="0"/>
                <w:i w:val="0"/>
                <w:sz w:val="22"/>
              </w:rPr>
              <w:t>SSP2-4.5, SSP5-8.5</w:t>
            </w:r>
          </w:p>
        </w:tc>
      </w:tr>
      <w:tr>
        <w:tc>
          <w:tcPr>
            <w:tcW w:type="dxa" w:w="1805"/>
          </w:tcPr>
          <w:p>
            <w:r>
              <w:rPr>
                <w:rFonts w:ascii="Times New Roman" w:hAnsi="Times New Roman"/>
                <w:b w:val="0"/>
                <w:i w:val="0"/>
                <w:sz w:val="22"/>
              </w:rPr>
              <w:t>CanESM5</w:t>
            </w:r>
          </w:p>
        </w:tc>
        <w:tc>
          <w:tcPr>
            <w:tcW w:type="dxa" w:w="1805"/>
          </w:tcPr>
          <w:p>
            <w:r>
              <w:rPr>
                <w:rFonts w:ascii="Times New Roman" w:hAnsi="Times New Roman"/>
                <w:b w:val="0"/>
                <w:i w:val="0"/>
                <w:sz w:val="22"/>
              </w:rPr>
              <w:t>CCCma, Canada</w:t>
            </w:r>
          </w:p>
        </w:tc>
        <w:tc>
          <w:tcPr>
            <w:tcW w:type="dxa" w:w="1805"/>
          </w:tcPr>
          <w:p>
            <w:r>
              <w:rPr>
                <w:rFonts w:ascii="Times New Roman" w:hAnsi="Times New Roman"/>
                <w:b w:val="0"/>
                <w:i w:val="0"/>
                <w:sz w:val="22"/>
              </w:rPr>
              <w:t>r1i1p1f1</w:t>
            </w:r>
          </w:p>
        </w:tc>
        <w:tc>
          <w:tcPr>
            <w:tcW w:type="dxa" w:w="1805"/>
          </w:tcPr>
          <w:p>
            <w:r>
              <w:rPr>
                <w:rFonts w:ascii="Times New Roman" w:hAnsi="Times New Roman"/>
                <w:b w:val="0"/>
                <w:i w:val="0"/>
                <w:sz w:val="22"/>
              </w:rPr>
              <w:t>365-day</w:t>
            </w:r>
          </w:p>
        </w:tc>
        <w:tc>
          <w:tcPr>
            <w:tcW w:type="dxa" w:w="1805"/>
          </w:tcPr>
          <w:p>
            <w:r>
              <w:rPr>
                <w:rFonts w:ascii="Times New Roman" w:hAnsi="Times New Roman"/>
                <w:b w:val="0"/>
                <w:i w:val="0"/>
                <w:sz w:val="22"/>
              </w:rPr>
              <w:t>SSP2-4.5, SSP5-8.5</w:t>
            </w:r>
          </w:p>
        </w:tc>
      </w:tr>
      <w:tr>
        <w:tc>
          <w:tcPr>
            <w:tcW w:type="dxa" w:w="1805"/>
          </w:tcPr>
          <w:p>
            <w:r>
              <w:rPr>
                <w:rFonts w:ascii="Times New Roman" w:hAnsi="Times New Roman"/>
                <w:b w:val="0"/>
                <w:i w:val="0"/>
                <w:sz w:val="22"/>
              </w:rPr>
              <w:t>EC-Earth3</w:t>
            </w:r>
          </w:p>
        </w:tc>
        <w:tc>
          <w:tcPr>
            <w:tcW w:type="dxa" w:w="1805"/>
          </w:tcPr>
          <w:p>
            <w:r>
              <w:rPr>
                <w:rFonts w:ascii="Times New Roman" w:hAnsi="Times New Roman"/>
                <w:b w:val="0"/>
                <w:i w:val="0"/>
                <w:sz w:val="22"/>
              </w:rPr>
              <w:t>EC-Earth Consortium</w:t>
            </w:r>
          </w:p>
        </w:tc>
        <w:tc>
          <w:tcPr>
            <w:tcW w:type="dxa" w:w="1805"/>
          </w:tcPr>
          <w:p>
            <w:r>
              <w:rPr>
                <w:rFonts w:ascii="Times New Roman" w:hAnsi="Times New Roman"/>
                <w:b w:val="0"/>
                <w:i w:val="0"/>
                <w:sz w:val="22"/>
              </w:rPr>
              <w:t>r1i1p1f1</w:t>
            </w:r>
          </w:p>
        </w:tc>
        <w:tc>
          <w:tcPr>
            <w:tcW w:type="dxa" w:w="1805"/>
          </w:tcPr>
          <w:p>
            <w:r>
              <w:rPr>
                <w:rFonts w:ascii="Times New Roman" w:hAnsi="Times New Roman"/>
                <w:b w:val="0"/>
                <w:i w:val="0"/>
                <w:sz w:val="22"/>
              </w:rPr>
              <w:t>Standard</w:t>
            </w:r>
          </w:p>
        </w:tc>
        <w:tc>
          <w:tcPr>
            <w:tcW w:type="dxa" w:w="1805"/>
          </w:tcPr>
          <w:p>
            <w:r>
              <w:rPr>
                <w:rFonts w:ascii="Times New Roman" w:hAnsi="Times New Roman"/>
                <w:b w:val="0"/>
                <w:i w:val="0"/>
                <w:sz w:val="22"/>
              </w:rPr>
              <w:t>SSP2-4.5, SSP5-8.5</w:t>
            </w:r>
          </w:p>
        </w:tc>
      </w:tr>
      <w:tr>
        <w:tc>
          <w:tcPr>
            <w:tcW w:type="dxa" w:w="1805"/>
          </w:tcPr>
          <w:p>
            <w:r>
              <w:rPr>
                <w:rFonts w:ascii="Times New Roman" w:hAnsi="Times New Roman"/>
                <w:b w:val="0"/>
                <w:i w:val="0"/>
                <w:sz w:val="22"/>
              </w:rPr>
              <w:t>FGOALS-g3</w:t>
            </w:r>
          </w:p>
        </w:tc>
        <w:tc>
          <w:tcPr>
            <w:tcW w:type="dxa" w:w="1805"/>
          </w:tcPr>
          <w:p>
            <w:r>
              <w:rPr>
                <w:rFonts w:ascii="Times New Roman" w:hAnsi="Times New Roman"/>
                <w:b w:val="0"/>
                <w:i w:val="0"/>
                <w:sz w:val="22"/>
              </w:rPr>
              <w:t>IAP/LASG, China</w:t>
            </w:r>
          </w:p>
        </w:tc>
        <w:tc>
          <w:tcPr>
            <w:tcW w:type="dxa" w:w="1805"/>
          </w:tcPr>
          <w:p>
            <w:r>
              <w:rPr>
                <w:rFonts w:ascii="Times New Roman" w:hAnsi="Times New Roman"/>
                <w:b w:val="0"/>
                <w:i w:val="0"/>
                <w:sz w:val="22"/>
              </w:rPr>
              <w:t>r1i1p1f1</w:t>
            </w:r>
          </w:p>
        </w:tc>
        <w:tc>
          <w:tcPr>
            <w:tcW w:type="dxa" w:w="1805"/>
          </w:tcPr>
          <w:p>
            <w:r>
              <w:rPr>
                <w:rFonts w:ascii="Times New Roman" w:hAnsi="Times New Roman"/>
                <w:b w:val="0"/>
                <w:i w:val="0"/>
                <w:sz w:val="22"/>
              </w:rPr>
              <w:t>365-day</w:t>
            </w:r>
          </w:p>
        </w:tc>
        <w:tc>
          <w:tcPr>
            <w:tcW w:type="dxa" w:w="1805"/>
          </w:tcPr>
          <w:p>
            <w:r>
              <w:rPr>
                <w:rFonts w:ascii="Times New Roman" w:hAnsi="Times New Roman"/>
                <w:b w:val="0"/>
                <w:i w:val="0"/>
                <w:sz w:val="22"/>
              </w:rPr>
              <w:t>SSP2-4.5, SSP5-8.5</w:t>
            </w:r>
          </w:p>
        </w:tc>
      </w:tr>
      <w:tr>
        <w:tc>
          <w:tcPr>
            <w:tcW w:type="dxa" w:w="1805"/>
          </w:tcPr>
          <w:p>
            <w:r>
              <w:rPr>
                <w:rFonts w:ascii="Times New Roman" w:hAnsi="Times New Roman"/>
                <w:b w:val="0"/>
                <w:i w:val="0"/>
                <w:sz w:val="22"/>
              </w:rPr>
              <w:t>MIROC6</w:t>
            </w:r>
          </w:p>
        </w:tc>
        <w:tc>
          <w:tcPr>
            <w:tcW w:type="dxa" w:w="1805"/>
          </w:tcPr>
          <w:p>
            <w:r>
              <w:rPr>
                <w:rFonts w:ascii="Times New Roman" w:hAnsi="Times New Roman"/>
                <w:b w:val="0"/>
                <w:i w:val="0"/>
                <w:sz w:val="22"/>
              </w:rPr>
              <w:t>MIROC Consortium, Japan</w:t>
            </w:r>
          </w:p>
        </w:tc>
        <w:tc>
          <w:tcPr>
            <w:tcW w:type="dxa" w:w="1805"/>
          </w:tcPr>
          <w:p>
            <w:r>
              <w:rPr>
                <w:rFonts w:ascii="Times New Roman" w:hAnsi="Times New Roman"/>
                <w:b w:val="0"/>
                <w:i w:val="0"/>
                <w:sz w:val="22"/>
              </w:rPr>
              <w:t>r1i1p1f1</w:t>
            </w:r>
          </w:p>
        </w:tc>
        <w:tc>
          <w:tcPr>
            <w:tcW w:type="dxa" w:w="1805"/>
          </w:tcPr>
          <w:p>
            <w:r>
              <w:rPr>
                <w:rFonts w:ascii="Times New Roman" w:hAnsi="Times New Roman"/>
                <w:b w:val="0"/>
                <w:i w:val="0"/>
                <w:sz w:val="22"/>
              </w:rPr>
              <w:t>Standard</w:t>
            </w:r>
          </w:p>
        </w:tc>
        <w:tc>
          <w:tcPr>
            <w:tcW w:type="dxa" w:w="1805"/>
          </w:tcPr>
          <w:p>
            <w:r>
              <w:rPr>
                <w:rFonts w:ascii="Times New Roman" w:hAnsi="Times New Roman"/>
                <w:b w:val="0"/>
                <w:i w:val="0"/>
                <w:sz w:val="22"/>
              </w:rPr>
              <w:t>SSP2-4.5, SSP5-8.5</w:t>
            </w:r>
          </w:p>
        </w:tc>
      </w:tr>
      <w:tr>
        <w:tc>
          <w:tcPr>
            <w:tcW w:type="dxa" w:w="1805"/>
          </w:tcPr>
          <w:p>
            <w:r>
              <w:rPr>
                <w:rFonts w:ascii="Times New Roman" w:hAnsi="Times New Roman"/>
                <w:b w:val="0"/>
                <w:i w:val="0"/>
                <w:sz w:val="22"/>
              </w:rPr>
              <w:t>MRI-ESM2-0</w:t>
            </w:r>
          </w:p>
        </w:tc>
        <w:tc>
          <w:tcPr>
            <w:tcW w:type="dxa" w:w="1805"/>
          </w:tcPr>
          <w:p>
            <w:r>
              <w:rPr>
                <w:rFonts w:ascii="Times New Roman" w:hAnsi="Times New Roman"/>
                <w:b w:val="0"/>
                <w:i w:val="0"/>
                <w:sz w:val="22"/>
              </w:rPr>
              <w:t>MRI, Japan</w:t>
            </w:r>
          </w:p>
        </w:tc>
        <w:tc>
          <w:tcPr>
            <w:tcW w:type="dxa" w:w="1805"/>
          </w:tcPr>
          <w:p>
            <w:r>
              <w:rPr>
                <w:rFonts w:ascii="Times New Roman" w:hAnsi="Times New Roman"/>
                <w:b w:val="0"/>
                <w:i w:val="0"/>
                <w:sz w:val="22"/>
              </w:rPr>
              <w:t>r1i1p1f1</w:t>
            </w:r>
          </w:p>
        </w:tc>
        <w:tc>
          <w:tcPr>
            <w:tcW w:type="dxa" w:w="1805"/>
          </w:tcPr>
          <w:p>
            <w:r>
              <w:rPr>
                <w:rFonts w:ascii="Times New Roman" w:hAnsi="Times New Roman"/>
                <w:b w:val="0"/>
                <w:i w:val="0"/>
                <w:sz w:val="22"/>
              </w:rPr>
              <w:t>Standard</w:t>
            </w:r>
          </w:p>
        </w:tc>
        <w:tc>
          <w:tcPr>
            <w:tcW w:type="dxa" w:w="1805"/>
          </w:tcPr>
          <w:p>
            <w:r>
              <w:rPr>
                <w:rFonts w:ascii="Times New Roman" w:hAnsi="Times New Roman"/>
                <w:b w:val="0"/>
                <w:i w:val="0"/>
                <w:sz w:val="22"/>
              </w:rPr>
              <w:t>SSP2-4.5, SSP5-8.5</w:t>
            </w:r>
          </w:p>
        </w:tc>
      </w:tr>
    </w:tbl>
    <w:p/>
    <w:p>
      <w:pPr>
        <w:spacing w:after="80"/>
        <w:jc w:val="left"/>
      </w:pPr>
      <w:r>
        <w:rPr>
          <w:rFonts w:ascii="Times New Roman" w:hAnsi="Times New Roman"/>
          <w:b/>
          <w:i w:val="0"/>
          <w:sz w:val="24"/>
        </w:rPr>
        <w:t>Table 3</w:t>
      </w:r>
      <w:r>
        <w:rPr>
          <w:rFonts w:ascii="Times New Roman" w:hAnsi="Times New Roman"/>
          <w:b w:val="0"/>
          <w:i w:val="0"/>
          <w:sz w:val="24"/>
        </w:rPr>
        <w:t xml:space="preserve"> Mann-Kendall trend results for regional mean annual rainfall by model and period. Slope in mm yr⁻¹. ↑ increasing, ↓ decreasing, → no trend. * p&lt;0.05.</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i w:val="0"/>
                <w:sz w:val="20"/>
              </w:rPr>
              <w:t>Model</w:t>
            </w:r>
          </w:p>
        </w:tc>
        <w:tc>
          <w:tcPr>
            <w:tcW w:type="dxa" w:w="1805"/>
          </w:tcPr>
          <w:p>
            <w:r>
              <w:rPr>
                <w:rFonts w:ascii="Times New Roman" w:hAnsi="Times New Roman"/>
                <w:b/>
                <w:i w:val="0"/>
                <w:sz w:val="20"/>
              </w:rPr>
              <w:t>1981–2014</w:t>
            </w:r>
          </w:p>
        </w:tc>
        <w:tc>
          <w:tcPr>
            <w:tcW w:type="dxa" w:w="1805"/>
          </w:tcPr>
          <w:p>
            <w:r>
              <w:rPr>
                <w:rFonts w:ascii="Times New Roman" w:hAnsi="Times New Roman"/>
                <w:b/>
                <w:i w:val="0"/>
                <w:sz w:val="20"/>
              </w:rPr>
              <w:t>2021–2050</w:t>
            </w:r>
          </w:p>
        </w:tc>
        <w:tc>
          <w:tcPr>
            <w:tcW w:type="dxa" w:w="1805"/>
          </w:tcPr>
          <w:p>
            <w:r>
              <w:rPr>
                <w:rFonts w:ascii="Times New Roman" w:hAnsi="Times New Roman"/>
                <w:b/>
                <w:i w:val="0"/>
                <w:sz w:val="20"/>
              </w:rPr>
              <w:t>2051–2080</w:t>
            </w:r>
          </w:p>
        </w:tc>
        <w:tc>
          <w:tcPr>
            <w:tcW w:type="dxa" w:w="1805"/>
          </w:tcPr>
          <w:p>
            <w:r>
              <w:rPr>
                <w:rFonts w:ascii="Times New Roman" w:hAnsi="Times New Roman"/>
                <w:b/>
                <w:i w:val="0"/>
                <w:sz w:val="20"/>
              </w:rPr>
              <w:t>2081–2100</w:t>
            </w:r>
          </w:p>
        </w:tc>
      </w:tr>
      <w:tr>
        <w:tc>
          <w:tcPr>
            <w:tcW w:type="dxa" w:w="1805"/>
          </w:tcPr>
          <w:p>
            <w:r>
              <w:rPr>
                <w:rFonts w:ascii="Times New Roman" w:hAnsi="Times New Roman"/>
                <w:b w:val="0"/>
                <w:i w:val="0"/>
                <w:sz w:val="20"/>
              </w:rPr>
              <w:t>Observed</w:t>
            </w:r>
          </w:p>
        </w:tc>
        <w:tc>
          <w:tcPr>
            <w:tcW w:type="dxa" w:w="1805"/>
          </w:tcPr>
          <w:p>
            <w:r>
              <w:rPr>
                <w:rFonts w:ascii="Times New Roman" w:hAnsi="Times New Roman"/>
                <w:b w:val="0"/>
                <w:i w:val="0"/>
                <w:sz w:val="20"/>
              </w:rPr>
              <w:t>↓ -16.91*</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w:t>
            </w:r>
          </w:p>
        </w:tc>
      </w:tr>
      <w:tr>
        <w:tc>
          <w:tcPr>
            <w:tcW w:type="dxa" w:w="1805"/>
          </w:tcPr>
          <w:p>
            <w:r>
              <w:rPr>
                <w:rFonts w:ascii="Times New Roman" w:hAnsi="Times New Roman"/>
                <w:b w:val="0"/>
                <w:i w:val="0"/>
                <w:sz w:val="20"/>
              </w:rPr>
              <w:t>ACCESS-ESM1-5</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-9.37</w:t>
            </w:r>
          </w:p>
        </w:tc>
        <w:tc>
          <w:tcPr>
            <w:tcW w:type="dxa" w:w="1805"/>
          </w:tcPr>
          <w:p>
            <w:r>
              <w:rPr>
                <w:rFonts w:ascii="Times New Roman" w:hAnsi="Times New Roman"/>
                <w:b w:val="0"/>
                <w:i w:val="0"/>
                <w:sz w:val="20"/>
              </w:rPr>
              <w:t>→ -11.70</w:t>
            </w:r>
          </w:p>
        </w:tc>
        <w:tc>
          <w:tcPr>
            <w:tcW w:type="dxa" w:w="1805"/>
          </w:tcPr>
          <w:p>
            <w:r>
              <w:rPr>
                <w:rFonts w:ascii="Times New Roman" w:hAnsi="Times New Roman"/>
                <w:b w:val="0"/>
                <w:i w:val="0"/>
                <w:sz w:val="20"/>
              </w:rPr>
              <w:t>→ -6.03</w:t>
            </w:r>
          </w:p>
        </w:tc>
      </w:tr>
      <w:tr>
        <w:tc>
          <w:tcPr>
            <w:tcW w:type="dxa" w:w="1805"/>
          </w:tcPr>
          <w:p>
            <w:r>
              <w:rPr>
                <w:rFonts w:ascii="Times New Roman" w:hAnsi="Times New Roman"/>
                <w:b w:val="0"/>
                <w:i w:val="0"/>
                <w:sz w:val="20"/>
              </w:rPr>
              <w:t>CESM2</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+0.18</w:t>
            </w:r>
          </w:p>
        </w:tc>
        <w:tc>
          <w:tcPr>
            <w:tcW w:type="dxa" w:w="1805"/>
          </w:tcPr>
          <w:p>
            <w:r>
              <w:rPr>
                <w:rFonts w:ascii="Times New Roman" w:hAnsi="Times New Roman"/>
                <w:b w:val="0"/>
                <w:i w:val="0"/>
                <w:sz w:val="20"/>
              </w:rPr>
              <w:t>→ +2.88</w:t>
            </w:r>
          </w:p>
        </w:tc>
        <w:tc>
          <w:tcPr>
            <w:tcW w:type="dxa" w:w="1805"/>
          </w:tcPr>
          <w:p>
            <w:r>
              <w:rPr>
                <w:rFonts w:ascii="Times New Roman" w:hAnsi="Times New Roman"/>
                <w:b w:val="0"/>
                <w:i w:val="0"/>
                <w:sz w:val="20"/>
              </w:rPr>
              <w:t>→ +10.37</w:t>
            </w:r>
          </w:p>
        </w:tc>
      </w:tr>
      <w:tr>
        <w:tc>
          <w:tcPr>
            <w:tcW w:type="dxa" w:w="1805"/>
          </w:tcPr>
          <w:p>
            <w:r>
              <w:rPr>
                <w:rFonts w:ascii="Times New Roman" w:hAnsi="Times New Roman"/>
                <w:b w:val="0"/>
                <w:i w:val="0"/>
                <w:sz w:val="20"/>
              </w:rPr>
              <w:t>CanESM5</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-6.68</w:t>
            </w:r>
          </w:p>
        </w:tc>
        <w:tc>
          <w:tcPr>
            <w:tcW w:type="dxa" w:w="1805"/>
          </w:tcPr>
          <w:p>
            <w:r>
              <w:rPr>
                <w:rFonts w:ascii="Times New Roman" w:hAnsi="Times New Roman"/>
                <w:b w:val="0"/>
                <w:i w:val="0"/>
                <w:sz w:val="20"/>
              </w:rPr>
              <w:t>→ +0.70</w:t>
            </w:r>
          </w:p>
        </w:tc>
        <w:tc>
          <w:tcPr>
            <w:tcW w:type="dxa" w:w="1805"/>
          </w:tcPr>
          <w:p>
            <w:r>
              <w:rPr>
                <w:rFonts w:ascii="Times New Roman" w:hAnsi="Times New Roman"/>
                <w:b w:val="0"/>
                <w:i w:val="0"/>
                <w:sz w:val="20"/>
              </w:rPr>
              <w:t>→ +13.00</w:t>
            </w:r>
          </w:p>
        </w:tc>
      </w:tr>
      <w:tr>
        <w:tc>
          <w:tcPr>
            <w:tcW w:type="dxa" w:w="1805"/>
          </w:tcPr>
          <w:p>
            <w:r>
              <w:rPr>
                <w:rFonts w:ascii="Times New Roman" w:hAnsi="Times New Roman"/>
                <w:b w:val="0"/>
                <w:i w:val="0"/>
                <w:sz w:val="20"/>
              </w:rPr>
              <w:t>EC-Earth3</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+3.96</w:t>
            </w:r>
          </w:p>
        </w:tc>
        <w:tc>
          <w:tcPr>
            <w:tcW w:type="dxa" w:w="1805"/>
          </w:tcPr>
          <w:p>
            <w:r>
              <w:rPr>
                <w:rFonts w:ascii="Times New Roman" w:hAnsi="Times New Roman"/>
                <w:b w:val="0"/>
                <w:i w:val="0"/>
                <w:sz w:val="20"/>
              </w:rPr>
              <w:t>→ +1.42</w:t>
            </w:r>
          </w:p>
        </w:tc>
        <w:tc>
          <w:tcPr>
            <w:tcW w:type="dxa" w:w="1805"/>
          </w:tcPr>
          <w:p>
            <w:r>
              <w:rPr>
                <w:rFonts w:ascii="Times New Roman" w:hAnsi="Times New Roman"/>
                <w:b w:val="0"/>
                <w:i w:val="0"/>
                <w:sz w:val="20"/>
              </w:rPr>
              <w:t>→ +8.55</w:t>
            </w:r>
          </w:p>
        </w:tc>
      </w:tr>
      <w:tr>
        <w:tc>
          <w:tcPr>
            <w:tcW w:type="dxa" w:w="1805"/>
          </w:tcPr>
          <w:p>
            <w:r>
              <w:rPr>
                <w:rFonts w:ascii="Times New Roman" w:hAnsi="Times New Roman"/>
                <w:b w:val="0"/>
                <w:i w:val="0"/>
                <w:sz w:val="20"/>
              </w:rPr>
              <w:t>FGOALS-g3</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-0.42</w:t>
            </w:r>
          </w:p>
        </w:tc>
        <w:tc>
          <w:tcPr>
            <w:tcW w:type="dxa" w:w="1805"/>
          </w:tcPr>
          <w:p>
            <w:r>
              <w:rPr>
                <w:rFonts w:ascii="Times New Roman" w:hAnsi="Times New Roman"/>
                <w:b w:val="0"/>
                <w:i w:val="0"/>
                <w:sz w:val="20"/>
              </w:rPr>
              <w:t>→ +0.39</w:t>
            </w:r>
          </w:p>
        </w:tc>
        <w:tc>
          <w:tcPr>
            <w:tcW w:type="dxa" w:w="1805"/>
          </w:tcPr>
          <w:p>
            <w:r>
              <w:rPr>
                <w:rFonts w:ascii="Times New Roman" w:hAnsi="Times New Roman"/>
                <w:b w:val="0"/>
                <w:i w:val="0"/>
                <w:sz w:val="20"/>
              </w:rPr>
              <w:t>→ +4.52</w:t>
            </w:r>
          </w:p>
        </w:tc>
      </w:tr>
      <w:tr>
        <w:tc>
          <w:tcPr>
            <w:tcW w:type="dxa" w:w="1805"/>
          </w:tcPr>
          <w:p>
            <w:r>
              <w:rPr>
                <w:rFonts w:ascii="Times New Roman" w:hAnsi="Times New Roman"/>
                <w:b w:val="0"/>
                <w:i w:val="0"/>
                <w:sz w:val="20"/>
              </w:rPr>
              <w:t>MIROC6</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+10.81*</w:t>
            </w:r>
          </w:p>
        </w:tc>
        <w:tc>
          <w:tcPr>
            <w:tcW w:type="dxa" w:w="1805"/>
          </w:tcPr>
          <w:p>
            <w:r>
              <w:rPr>
                <w:rFonts w:ascii="Times New Roman" w:hAnsi="Times New Roman"/>
                <w:b w:val="0"/>
                <w:i w:val="0"/>
                <w:sz w:val="20"/>
              </w:rPr>
              <w:t>→ +0.22</w:t>
            </w:r>
          </w:p>
        </w:tc>
        <w:tc>
          <w:tcPr>
            <w:tcW w:type="dxa" w:w="1805"/>
          </w:tcPr>
          <w:p>
            <w:r>
              <w:rPr>
                <w:rFonts w:ascii="Times New Roman" w:hAnsi="Times New Roman"/>
                <w:b w:val="0"/>
                <w:i w:val="0"/>
                <w:sz w:val="20"/>
              </w:rPr>
              <w:t>→ +15.53</w:t>
            </w:r>
          </w:p>
        </w:tc>
      </w:tr>
      <w:tr>
        <w:tc>
          <w:tcPr>
            <w:tcW w:type="dxa" w:w="1805"/>
          </w:tcPr>
          <w:p>
            <w:r>
              <w:rPr>
                <w:rFonts w:ascii="Times New Roman" w:hAnsi="Times New Roman"/>
                <w:b w:val="0"/>
                <w:i w:val="0"/>
                <w:sz w:val="20"/>
              </w:rPr>
              <w:t>MRI-ESM2-0</w:t>
            </w:r>
          </w:p>
        </w:tc>
        <w:tc>
          <w:tcPr>
            <w:tcW w:type="dxa" w:w="1805"/>
          </w:tcPr>
          <w:p>
            <w:r>
              <w:rPr>
                <w:rFonts w:ascii="Times New Roman" w:hAnsi="Times New Roman"/>
                <w:b w:val="0"/>
                <w:i w:val="0"/>
                <w:sz w:val="20"/>
              </w:rPr>
              <w:t>—</w:t>
            </w:r>
          </w:p>
        </w:tc>
        <w:tc>
          <w:tcPr>
            <w:tcW w:type="dxa" w:w="1805"/>
          </w:tcPr>
          <w:p>
            <w:r>
              <w:rPr>
                <w:rFonts w:ascii="Times New Roman" w:hAnsi="Times New Roman"/>
                <w:b w:val="0"/>
                <w:i w:val="0"/>
                <w:sz w:val="20"/>
              </w:rPr>
              <w:t>↓ -12.08*</w:t>
            </w:r>
          </w:p>
        </w:tc>
        <w:tc>
          <w:tcPr>
            <w:tcW w:type="dxa" w:w="1805"/>
          </w:tcPr>
          <w:p>
            <w:r>
              <w:rPr>
                <w:rFonts w:ascii="Times New Roman" w:hAnsi="Times New Roman"/>
                <w:b w:val="0"/>
                <w:i w:val="0"/>
                <w:sz w:val="20"/>
              </w:rPr>
              <w:t>→ -1.40</w:t>
            </w:r>
          </w:p>
        </w:tc>
        <w:tc>
          <w:tcPr>
            <w:tcW w:type="dxa" w:w="1805"/>
          </w:tcPr>
          <w:p>
            <w:r>
              <w:rPr>
                <w:rFonts w:ascii="Times New Roman" w:hAnsi="Times New Roman"/>
                <w:b w:val="0"/>
                <w:i w:val="0"/>
                <w:sz w:val="20"/>
              </w:rPr>
              <w:t>→ -5.80</w:t>
            </w:r>
          </w:p>
        </w:tc>
      </w:tr>
    </w:tbl>
    <w:p/>
    <w:p>
      <w:pPr>
        <w:spacing w:after="80"/>
        <w:jc w:val="left"/>
      </w:pPr>
      <w:r>
        <w:rPr>
          <w:rFonts w:ascii="Times New Roman" w:hAnsi="Times New Roman"/>
          <w:b/>
          <w:i w:val="0"/>
          <w:sz w:val="24"/>
        </w:rPr>
        <w:t>Table 4</w:t>
      </w:r>
      <w:r>
        <w:rPr>
          <w:rFonts w:ascii="Times New Roman" w:hAnsi="Times New Roman"/>
          <w:b w:val="0"/>
          <w:i w:val="0"/>
          <w:sz w:val="24"/>
        </w:rPr>
        <w:t xml:space="preserve"> Multi-model ensemble (MME) statistics for projected annual rainfall change relative to the observed baseline mean (1981–2014). IQR = interquartile range (25th–75th percentile across 7 models).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i w:val="0"/>
                <w:sz w:val="22"/>
              </w:rPr>
              <w:t>Period</w:t>
            </w:r>
          </w:p>
        </w:tc>
        <w:tc>
          <w:tcPr>
            <w:tcW w:type="dxa" w:w="1805"/>
          </w:tcPr>
          <w:p>
            <w:r>
              <w:rPr>
                <w:rFonts w:ascii="Times New Roman" w:hAnsi="Times New Roman"/>
                <w:b/>
                <w:i w:val="0"/>
                <w:sz w:val="22"/>
              </w:rPr>
              <w:t>SSP</w:t>
            </w:r>
          </w:p>
        </w:tc>
        <w:tc>
          <w:tcPr>
            <w:tcW w:type="dxa" w:w="1805"/>
          </w:tcPr>
          <w:p>
            <w:r>
              <w:rPr>
                <w:rFonts w:ascii="Times New Roman" w:hAnsi="Times New Roman"/>
                <w:b/>
                <w:i w:val="0"/>
                <w:sz w:val="22"/>
              </w:rPr>
              <w:t>MME Mean (mm)</w:t>
            </w:r>
          </w:p>
        </w:tc>
        <w:tc>
          <w:tcPr>
            <w:tcW w:type="dxa" w:w="1805"/>
          </w:tcPr>
          <w:p>
            <w:r>
              <w:rPr>
                <w:rFonts w:ascii="Times New Roman" w:hAnsi="Times New Roman"/>
                <w:b/>
                <w:i w:val="0"/>
                <w:sz w:val="22"/>
              </w:rPr>
              <w:t>IQR (mm)</w:t>
            </w:r>
          </w:p>
        </w:tc>
        <w:tc>
          <w:tcPr>
            <w:tcW w:type="dxa" w:w="1805"/>
          </w:tcPr>
          <w:p>
            <w:r>
              <w:rPr>
                <w:rFonts w:ascii="Times New Roman" w:hAnsi="Times New Roman"/>
                <w:b/>
                <w:i w:val="0"/>
                <w:sz w:val="22"/>
              </w:rPr>
              <w:t>% Change vs Baseline</w:t>
            </w:r>
          </w:p>
        </w:tc>
      </w:tr>
      <w:tr>
        <w:tc>
          <w:tcPr>
            <w:tcW w:type="dxa" w:w="1805"/>
          </w:tcPr>
          <w:p>
            <w:r>
              <w:rPr>
                <w:rFonts w:ascii="Times New Roman" w:hAnsi="Times New Roman"/>
                <w:b w:val="0"/>
                <w:i w:val="0"/>
                <w:sz w:val="22"/>
              </w:rPr>
              <w:t>Near future</w:t>
            </w:r>
          </w:p>
        </w:tc>
        <w:tc>
          <w:tcPr>
            <w:tcW w:type="dxa" w:w="1805"/>
          </w:tcPr>
          <w:p>
            <w:r>
              <w:rPr>
                <w:rFonts w:ascii="Times New Roman" w:hAnsi="Times New Roman"/>
                <w:b w:val="0"/>
                <w:i w:val="0"/>
                <w:sz w:val="22"/>
              </w:rPr>
              <w:t>SSP2-4.5</w:t>
            </w:r>
          </w:p>
        </w:tc>
        <w:tc>
          <w:tcPr>
            <w:tcW w:type="dxa" w:w="1805"/>
          </w:tcPr>
          <w:p>
            <w:r>
              <w:rPr>
                <w:rFonts w:ascii="Times New Roman" w:hAnsi="Times New Roman"/>
                <w:b w:val="0"/>
                <w:i w:val="0"/>
                <w:sz w:val="22"/>
              </w:rPr>
              <w:t>1327</w:t>
            </w:r>
          </w:p>
        </w:tc>
        <w:tc>
          <w:tcPr>
            <w:tcW w:type="dxa" w:w="1805"/>
          </w:tcPr>
          <w:p>
            <w:r>
              <w:rPr>
                <w:rFonts w:ascii="Times New Roman" w:hAnsi="Times New Roman"/>
                <w:b w:val="0"/>
                <w:i w:val="0"/>
                <w:sz w:val="22"/>
              </w:rPr>
              <w:t>1166–1492</w:t>
            </w:r>
          </w:p>
        </w:tc>
        <w:tc>
          <w:tcPr>
            <w:tcW w:type="dxa" w:w="1805"/>
          </w:tcPr>
          <w:p>
            <w:r>
              <w:rPr>
                <w:rFonts w:ascii="Times New Roman" w:hAnsi="Times New Roman"/>
                <w:b w:val="0"/>
                <w:i w:val="0"/>
                <w:sz w:val="22"/>
              </w:rPr>
              <w:t>-3.3%</w:t>
            </w:r>
          </w:p>
        </w:tc>
      </w:tr>
      <w:tr>
        <w:tc>
          <w:tcPr>
            <w:tcW w:type="dxa" w:w="1805"/>
          </w:tcPr>
          <w:p>
            <w:r>
              <w:rPr>
                <w:rFonts w:ascii="Times New Roman" w:hAnsi="Times New Roman"/>
                <w:b w:val="0"/>
                <w:i w:val="0"/>
                <w:sz w:val="22"/>
              </w:rPr>
              <w:t>Near future</w:t>
            </w:r>
          </w:p>
        </w:tc>
        <w:tc>
          <w:tcPr>
            <w:tcW w:type="dxa" w:w="1805"/>
          </w:tcPr>
          <w:p>
            <w:r>
              <w:rPr>
                <w:rFonts w:ascii="Times New Roman" w:hAnsi="Times New Roman"/>
                <w:b w:val="0"/>
                <w:i w:val="0"/>
                <w:sz w:val="22"/>
              </w:rPr>
              <w:t>SSP5-8.5</w:t>
            </w:r>
          </w:p>
        </w:tc>
        <w:tc>
          <w:tcPr>
            <w:tcW w:type="dxa" w:w="1805"/>
          </w:tcPr>
          <w:p>
            <w:r>
              <w:rPr>
                <w:rFonts w:ascii="Times New Roman" w:hAnsi="Times New Roman"/>
                <w:b w:val="0"/>
                <w:i w:val="0"/>
                <w:sz w:val="22"/>
              </w:rPr>
              <w:t>1309</w:t>
            </w:r>
          </w:p>
        </w:tc>
        <w:tc>
          <w:tcPr>
            <w:tcW w:type="dxa" w:w="1805"/>
          </w:tcPr>
          <w:p>
            <w:r>
              <w:rPr>
                <w:rFonts w:ascii="Times New Roman" w:hAnsi="Times New Roman"/>
                <w:b w:val="0"/>
                <w:i w:val="0"/>
                <w:sz w:val="22"/>
              </w:rPr>
              <w:t>1131–1468</w:t>
            </w:r>
          </w:p>
        </w:tc>
        <w:tc>
          <w:tcPr>
            <w:tcW w:type="dxa" w:w="1805"/>
          </w:tcPr>
          <w:p>
            <w:r>
              <w:rPr>
                <w:rFonts w:ascii="Times New Roman" w:hAnsi="Times New Roman"/>
                <w:b w:val="0"/>
                <w:i w:val="0"/>
                <w:sz w:val="22"/>
              </w:rPr>
              <w:t>-4.7%</w:t>
            </w:r>
          </w:p>
        </w:tc>
      </w:tr>
      <w:tr>
        <w:tc>
          <w:tcPr>
            <w:tcW w:type="dxa" w:w="1805"/>
          </w:tcPr>
          <w:p>
            <w:r>
              <w:rPr>
                <w:rFonts w:ascii="Times New Roman" w:hAnsi="Times New Roman"/>
                <w:b w:val="0"/>
                <w:i w:val="0"/>
                <w:sz w:val="22"/>
              </w:rPr>
              <w:t>Mid future</w:t>
            </w:r>
          </w:p>
        </w:tc>
        <w:tc>
          <w:tcPr>
            <w:tcW w:type="dxa" w:w="1805"/>
          </w:tcPr>
          <w:p>
            <w:r>
              <w:rPr>
                <w:rFonts w:ascii="Times New Roman" w:hAnsi="Times New Roman"/>
                <w:b w:val="0"/>
                <w:i w:val="0"/>
                <w:sz w:val="22"/>
              </w:rPr>
              <w:t>SSP2-4.5</w:t>
            </w:r>
          </w:p>
        </w:tc>
        <w:tc>
          <w:tcPr>
            <w:tcW w:type="dxa" w:w="1805"/>
          </w:tcPr>
          <w:p>
            <w:r>
              <w:rPr>
                <w:rFonts w:ascii="Times New Roman" w:hAnsi="Times New Roman"/>
                <w:b w:val="0"/>
                <w:i w:val="0"/>
                <w:sz w:val="22"/>
              </w:rPr>
              <w:t>1322</w:t>
            </w:r>
          </w:p>
        </w:tc>
        <w:tc>
          <w:tcPr>
            <w:tcW w:type="dxa" w:w="1805"/>
          </w:tcPr>
          <w:p>
            <w:r>
              <w:rPr>
                <w:rFonts w:ascii="Times New Roman" w:hAnsi="Times New Roman"/>
                <w:b w:val="0"/>
                <w:i w:val="0"/>
                <w:sz w:val="22"/>
              </w:rPr>
              <w:t>1145–1495</w:t>
            </w:r>
          </w:p>
        </w:tc>
        <w:tc>
          <w:tcPr>
            <w:tcW w:type="dxa" w:w="1805"/>
          </w:tcPr>
          <w:p>
            <w:r>
              <w:rPr>
                <w:rFonts w:ascii="Times New Roman" w:hAnsi="Times New Roman"/>
                <w:b w:val="0"/>
                <w:i w:val="0"/>
                <w:sz w:val="22"/>
              </w:rPr>
              <w:t>-3.8%</w:t>
            </w:r>
          </w:p>
        </w:tc>
      </w:tr>
      <w:tr>
        <w:tc>
          <w:tcPr>
            <w:tcW w:type="dxa" w:w="1805"/>
          </w:tcPr>
          <w:p>
            <w:r>
              <w:rPr>
                <w:rFonts w:ascii="Times New Roman" w:hAnsi="Times New Roman"/>
                <w:b w:val="0"/>
                <w:i w:val="0"/>
                <w:sz w:val="22"/>
              </w:rPr>
              <w:t>Mid future</w:t>
            </w:r>
          </w:p>
        </w:tc>
        <w:tc>
          <w:tcPr>
            <w:tcW w:type="dxa" w:w="1805"/>
          </w:tcPr>
          <w:p>
            <w:r>
              <w:rPr>
                <w:rFonts w:ascii="Times New Roman" w:hAnsi="Times New Roman"/>
                <w:b w:val="0"/>
                <w:i w:val="0"/>
                <w:sz w:val="22"/>
              </w:rPr>
              <w:t>SSP5-8.5</w:t>
            </w:r>
          </w:p>
        </w:tc>
        <w:tc>
          <w:tcPr>
            <w:tcW w:type="dxa" w:w="1805"/>
          </w:tcPr>
          <w:p>
            <w:r>
              <w:rPr>
                <w:rFonts w:ascii="Times New Roman" w:hAnsi="Times New Roman"/>
                <w:b w:val="0"/>
                <w:i w:val="0"/>
                <w:sz w:val="22"/>
              </w:rPr>
              <w:t>1161</w:t>
            </w:r>
          </w:p>
        </w:tc>
        <w:tc>
          <w:tcPr>
            <w:tcW w:type="dxa" w:w="1805"/>
          </w:tcPr>
          <w:p>
            <w:r>
              <w:rPr>
                <w:rFonts w:ascii="Times New Roman" w:hAnsi="Times New Roman"/>
                <w:b w:val="0"/>
                <w:i w:val="0"/>
                <w:sz w:val="22"/>
              </w:rPr>
              <w:t>949–1331</w:t>
            </w:r>
          </w:p>
        </w:tc>
        <w:tc>
          <w:tcPr>
            <w:tcW w:type="dxa" w:w="1805"/>
          </w:tcPr>
          <w:p>
            <w:r>
              <w:rPr>
                <w:rFonts w:ascii="Times New Roman" w:hAnsi="Times New Roman"/>
                <w:b w:val="0"/>
                <w:i w:val="0"/>
                <w:sz w:val="22"/>
              </w:rPr>
              <w:t>-15.4%</w:t>
            </w:r>
          </w:p>
        </w:tc>
      </w:tr>
      <w:tr>
        <w:tc>
          <w:tcPr>
            <w:tcW w:type="dxa" w:w="1805"/>
          </w:tcPr>
          <w:p>
            <w:r>
              <w:rPr>
                <w:rFonts w:ascii="Times New Roman" w:hAnsi="Times New Roman"/>
                <w:b w:val="0"/>
                <w:i w:val="0"/>
                <w:sz w:val="22"/>
              </w:rPr>
              <w:t>Far future</w:t>
            </w:r>
          </w:p>
        </w:tc>
        <w:tc>
          <w:tcPr>
            <w:tcW w:type="dxa" w:w="1805"/>
          </w:tcPr>
          <w:p>
            <w:r>
              <w:rPr>
                <w:rFonts w:ascii="Times New Roman" w:hAnsi="Times New Roman"/>
                <w:b w:val="0"/>
                <w:i w:val="0"/>
                <w:sz w:val="22"/>
              </w:rPr>
              <w:t>SSP2-4.5</w:t>
            </w:r>
          </w:p>
        </w:tc>
        <w:tc>
          <w:tcPr>
            <w:tcW w:type="dxa" w:w="1805"/>
          </w:tcPr>
          <w:p>
            <w:r>
              <w:rPr>
                <w:rFonts w:ascii="Times New Roman" w:hAnsi="Times New Roman"/>
                <w:b w:val="0"/>
                <w:i w:val="0"/>
                <w:sz w:val="22"/>
              </w:rPr>
              <w:t>1267</w:t>
            </w:r>
          </w:p>
        </w:tc>
        <w:tc>
          <w:tcPr>
            <w:tcW w:type="dxa" w:w="1805"/>
          </w:tcPr>
          <w:p>
            <w:r>
              <w:rPr>
                <w:rFonts w:ascii="Times New Roman" w:hAnsi="Times New Roman"/>
                <w:b w:val="0"/>
                <w:i w:val="0"/>
                <w:sz w:val="22"/>
              </w:rPr>
              <w:t>1083–1428</w:t>
            </w:r>
          </w:p>
        </w:tc>
        <w:tc>
          <w:tcPr>
            <w:tcW w:type="dxa" w:w="1805"/>
          </w:tcPr>
          <w:p>
            <w:r>
              <w:rPr>
                <w:rFonts w:ascii="Times New Roman" w:hAnsi="Times New Roman"/>
                <w:b w:val="0"/>
                <w:i w:val="0"/>
                <w:sz w:val="22"/>
              </w:rPr>
              <w:t>-7.7%</w:t>
            </w:r>
          </w:p>
        </w:tc>
      </w:tr>
      <w:tr>
        <w:tc>
          <w:tcPr>
            <w:tcW w:type="dxa" w:w="1805"/>
          </w:tcPr>
          <w:p>
            <w:r>
              <w:rPr>
                <w:rFonts w:ascii="Times New Roman" w:hAnsi="Times New Roman"/>
                <w:b w:val="0"/>
                <w:i w:val="0"/>
                <w:sz w:val="22"/>
              </w:rPr>
              <w:t>Far future</w:t>
            </w:r>
          </w:p>
        </w:tc>
        <w:tc>
          <w:tcPr>
            <w:tcW w:type="dxa" w:w="1805"/>
          </w:tcPr>
          <w:p>
            <w:r>
              <w:rPr>
                <w:rFonts w:ascii="Times New Roman" w:hAnsi="Times New Roman"/>
                <w:b w:val="0"/>
                <w:i w:val="0"/>
                <w:sz w:val="22"/>
              </w:rPr>
              <w:t>SSP5-8.5</w:t>
            </w:r>
          </w:p>
        </w:tc>
        <w:tc>
          <w:tcPr>
            <w:tcW w:type="dxa" w:w="1805"/>
          </w:tcPr>
          <w:p>
            <w:r>
              <w:rPr>
                <w:rFonts w:ascii="Times New Roman" w:hAnsi="Times New Roman"/>
                <w:b w:val="0"/>
                <w:i w:val="0"/>
                <w:sz w:val="22"/>
              </w:rPr>
              <w:t>975</w:t>
            </w:r>
          </w:p>
        </w:tc>
        <w:tc>
          <w:tcPr>
            <w:tcW w:type="dxa" w:w="1805"/>
          </w:tcPr>
          <w:p>
            <w:r>
              <w:rPr>
                <w:rFonts w:ascii="Times New Roman" w:hAnsi="Times New Roman"/>
                <w:b w:val="0"/>
                <w:i w:val="0"/>
                <w:sz w:val="22"/>
              </w:rPr>
              <w:t>702–1248</w:t>
            </w:r>
          </w:p>
        </w:tc>
        <w:tc>
          <w:tcPr>
            <w:tcW w:type="dxa" w:w="1805"/>
          </w:tcPr>
          <w:p>
            <w:r>
              <w:rPr>
                <w:rFonts w:ascii="Times New Roman" w:hAnsi="Times New Roman"/>
                <w:b w:val="0"/>
                <w:i w:val="0"/>
                <w:sz w:val="22"/>
              </w:rPr>
              <w:t>-29.0%</w:t>
            </w:r>
          </w:p>
        </w:tc>
      </w:tr>
    </w:tbl>
    <w:p>
      <w:pPr>
        <w:spacing w:before="400" w:after="120"/>
        <w:jc w:val="left"/>
      </w:pPr>
      <w:r>
        <w:rPr>
          <w:rFonts w:ascii="Times New Roman" w:hAnsi="Times New Roman"/>
          <w:b/>
          <w:i w:val="0"/>
          <w:sz w:val="28"/>
        </w:rPr>
        <w:t>Figures</w:t>
      </w:r>
    </w:p>
    <w:p>
      <w:pPr>
        <w:jc w:val="center"/>
      </w:pPr>
      <w:r>
        <w:drawing>
          <wp:inline xmlns:a="http://schemas.openxmlformats.org/drawingml/2006/main" xmlns:pic="http://schemas.openxmlformats.org/drawingml/2006/picture">
            <wp:extent cx="5040000" cy="4618488"/>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9"/>
                    <a:stretch>
                      <a:fillRect/>
                    </a:stretch>
                  </pic:blipFill>
                  <pic:spPr>
                    <a:xfrm>
                      <a:off x="0" y="0"/>
                      <a:ext cx="5040000" cy="4618488"/>
                    </a:xfrm>
                    <a:prstGeom prst="rect"/>
                  </pic:spPr>
                </pic:pic>
              </a:graphicData>
            </a:graphic>
          </wp:inline>
        </w:drawing>
      </w:r>
    </w:p>
    <w:p>
      <w:pPr>
        <w:spacing w:after="80"/>
        <w:jc w:val="center"/>
      </w:pPr>
      <w:r>
        <w:rPr>
          <w:rFonts w:ascii="Times New Roman" w:hAnsi="Times New Roman"/>
          <w:b/>
          <w:i w:val="0"/>
          <w:sz w:val="24"/>
        </w:rPr>
        <w:t>Figure 1</w:t>
      </w:r>
      <w:r>
        <w:rPr>
          <w:rFonts w:ascii="Times New Roman" w:hAnsi="Times New Roman"/>
          <w:b w:val="0"/>
          <w:i w:val="0"/>
          <w:sz w:val="24"/>
        </w:rPr>
        <w:t xml:space="preserve"> Study area: Nan Province, northern Thailand. (a) Location within Thailand. (b) Rain-gauge network: 14 stations (triangles) with station ID labels; blue line = Nan River (approximate); terrain shading is schematic.</w:t>
      </w:r>
    </w:p>
    <w:p/>
    <w:p>
      <w:pPr>
        <w:jc w:val="center"/>
      </w:pPr>
      <w:r>
        <w:drawing>
          <wp:inline xmlns:a="http://schemas.openxmlformats.org/drawingml/2006/main" xmlns:pic="http://schemas.openxmlformats.org/drawingml/2006/picture">
            <wp:extent cx="5040000" cy="4978295"/>
            <wp:docPr id="2" name="Picture 2"/>
            <wp:cNvGraphicFramePr>
              <a:graphicFrameLocks noChangeAspect="1"/>
            </wp:cNvGraphicFramePr>
            <a:graphic>
              <a:graphicData uri="http://schemas.openxmlformats.org/drawingml/2006/picture">
                <pic:pic>
                  <pic:nvPicPr>
                    <pic:cNvPr id="0" name="Fig2_Annual_Timeline.png"/>
                    <pic:cNvPicPr/>
                  </pic:nvPicPr>
                  <pic:blipFill>
                    <a:blip r:embed="rId10"/>
                    <a:stretch>
                      <a:fillRect/>
                    </a:stretch>
                  </pic:blipFill>
                  <pic:spPr>
                    <a:xfrm>
                      <a:off x="0" y="0"/>
                      <a:ext cx="5040000" cy="4978295"/>
                    </a:xfrm>
                    <a:prstGeom prst="rect"/>
                  </pic:spPr>
                </pic:pic>
              </a:graphicData>
            </a:graphic>
          </wp:inline>
        </w:drawing>
      </w:r>
    </w:p>
    <w:p>
      <w:pPr>
        <w:spacing w:after="80"/>
        <w:jc w:val="center"/>
      </w:pPr>
      <w:r>
        <w:rPr>
          <w:rFonts w:ascii="Times New Roman" w:hAnsi="Times New Roman"/>
          <w:b/>
          <w:i w:val="0"/>
          <w:sz w:val="24"/>
        </w:rPr>
        <w:t>Figure 2</w:t>
      </w:r>
      <w:r>
        <w:rPr>
          <w:rFonts w:ascii="Times New Roman" w:hAnsi="Times New Roman"/>
          <w:b w:val="0"/>
          <w:i w:val="0"/>
          <w:sz w:val="24"/>
        </w:rPr>
        <w:t xml:space="preserve"> Regional mean annual rainfall for Nan Province: observed 1981–2014 (black), bias-corrected CMIP6 models (coloured thin lines) and MME median (thick coloured line) with IQR shading. Upper: SSP2-4.5; lower: SSP5-8.5. Vertical dashed line marks 2015. All model series smoothed with an 11-yr centred mean.</w:t>
      </w:r>
    </w:p>
    <w:p/>
    <w:p>
      <w:pPr>
        <w:jc w:val="center"/>
      </w:pPr>
      <w:r>
        <w:drawing>
          <wp:inline xmlns:a="http://schemas.openxmlformats.org/drawingml/2006/main" xmlns:pic="http://schemas.openxmlformats.org/drawingml/2006/picture">
            <wp:extent cx="5040000" cy="4978295"/>
            <wp:docPr id="3" name="Picture 3"/>
            <wp:cNvGraphicFramePr>
              <a:graphicFrameLocks noChangeAspect="1"/>
            </wp:cNvGraphicFramePr>
            <a:graphic>
              <a:graphicData uri="http://schemas.openxmlformats.org/drawingml/2006/picture">
                <pic:pic>
                  <pic:nvPicPr>
                    <pic:cNvPr id="0" name="Fig3_Seasonal_Timeline.png"/>
                    <pic:cNvPicPr/>
                  </pic:nvPicPr>
                  <pic:blipFill>
                    <a:blip r:embed="rId11"/>
                    <a:stretch>
                      <a:fillRect/>
                    </a:stretch>
                  </pic:blipFill>
                  <pic:spPr>
                    <a:xfrm>
                      <a:off x="0" y="0"/>
                      <a:ext cx="5040000" cy="4978295"/>
                    </a:xfrm>
                    <a:prstGeom prst="rect"/>
                  </pic:spPr>
                </pic:pic>
              </a:graphicData>
            </a:graphic>
          </wp:inline>
        </w:drawing>
      </w:r>
    </w:p>
    <w:p>
      <w:pPr>
        <w:spacing w:after="80"/>
        <w:jc w:val="center"/>
      </w:pPr>
      <w:r>
        <w:rPr>
          <w:rFonts w:ascii="Times New Roman" w:hAnsi="Times New Roman"/>
          <w:b/>
          <w:i w:val="0"/>
          <w:sz w:val="24"/>
        </w:rPr>
        <w:t>Figure 3</w:t>
      </w:r>
      <w:r>
        <w:rPr>
          <w:rFonts w:ascii="Times New Roman" w:hAnsi="Times New Roman"/>
          <w:b w:val="0"/>
          <w:i w:val="0"/>
          <w:sz w:val="24"/>
        </w:rPr>
        <w:t xml:space="preserve"> Regional mean seasonal rainfall: (a,b) wet season (May–October) and (c,d) dry season (November–April) under SSP2-4.5 and SSP5-8.5.</w:t>
      </w:r>
    </w:p>
    <w:p/>
    <w:p>
      <w:pPr>
        <w:jc w:val="center"/>
      </w:pPr>
      <w:r>
        <w:drawing>
          <wp:inline xmlns:a="http://schemas.openxmlformats.org/drawingml/2006/main" xmlns:pic="http://schemas.openxmlformats.org/drawingml/2006/picture">
            <wp:extent cx="5040000" cy="6411476"/>
            <wp:docPr id="4" name="Picture 4"/>
            <wp:cNvGraphicFramePr>
              <a:graphicFrameLocks noChangeAspect="1"/>
            </wp:cNvGraphicFramePr>
            <a:graphic>
              <a:graphicData uri="http://schemas.openxmlformats.org/drawingml/2006/picture">
                <pic:pic>
                  <pic:nvPicPr>
                    <pic:cNvPr id="0" name="Fig4_MK_Trends.png"/>
                    <pic:cNvPicPr/>
                  </pic:nvPicPr>
                  <pic:blipFill>
                    <a:blip r:embed="rId12"/>
                    <a:stretch>
                      <a:fillRect/>
                    </a:stretch>
                  </pic:blipFill>
                  <pic:spPr>
                    <a:xfrm>
                      <a:off x="0" y="0"/>
                      <a:ext cx="5040000" cy="6411476"/>
                    </a:xfrm>
                    <a:prstGeom prst="rect"/>
                  </pic:spPr>
                </pic:pic>
              </a:graphicData>
            </a:graphic>
          </wp:inline>
        </w:drawing>
      </w:r>
    </w:p>
    <w:p>
      <w:pPr>
        <w:spacing w:after="80"/>
        <w:jc w:val="center"/>
      </w:pPr>
      <w:r>
        <w:rPr>
          <w:rFonts w:ascii="Times New Roman" w:hAnsi="Times New Roman"/>
          <w:b/>
          <w:i w:val="0"/>
          <w:sz w:val="24"/>
        </w:rPr>
        <w:t>Figure 4</w:t>
      </w:r>
      <w:r>
        <w:rPr>
          <w:rFonts w:ascii="Times New Roman" w:hAnsi="Times New Roman"/>
          <w:b w:val="0"/>
          <w:i w:val="0"/>
          <w:sz w:val="24"/>
        </w:rPr>
        <w:t xml:space="preserve"> Mann-Kendall trend direction and Sen's slope (mm yr⁻¹) for the regional mean annual and seasonal rainfall by model and analysis period. Colour indicates trend direction; asterisk (*) marks significance at p&lt;0.05.</w:t>
      </w:r>
    </w:p>
    <w:p/>
    <w:p>
      <w:pPr>
        <w:jc w:val="center"/>
      </w:pPr>
      <w:r>
        <w:drawing>
          <wp:inline xmlns:a="http://schemas.openxmlformats.org/drawingml/2006/main" xmlns:pic="http://schemas.openxmlformats.org/drawingml/2006/picture">
            <wp:extent cx="4680000" cy="2930679"/>
            <wp:docPr id="5" name="Picture 5"/>
            <wp:cNvGraphicFramePr>
              <a:graphicFrameLocks noChangeAspect="1"/>
            </wp:cNvGraphicFramePr>
            <a:graphic>
              <a:graphicData uri="http://schemas.openxmlformats.org/drawingml/2006/picture">
                <pic:pic>
                  <pic:nvPicPr>
                    <pic:cNvPr id="0" name="Fig5_Sens_Slope_Heatmap.png"/>
                    <pic:cNvPicPr/>
                  </pic:nvPicPr>
                  <pic:blipFill>
                    <a:blip r:embed="rId13"/>
                    <a:stretch>
                      <a:fillRect/>
                    </a:stretch>
                  </pic:blipFill>
                  <pic:spPr>
                    <a:xfrm>
                      <a:off x="0" y="0"/>
                      <a:ext cx="4680000" cy="2930679"/>
                    </a:xfrm>
                    <a:prstGeom prst="rect"/>
                  </pic:spPr>
                </pic:pic>
              </a:graphicData>
            </a:graphic>
          </wp:inline>
        </w:drawing>
      </w:r>
    </w:p>
    <w:p>
      <w:pPr>
        <w:spacing w:after="80"/>
        <w:jc w:val="center"/>
      </w:pPr>
      <w:r>
        <w:rPr>
          <w:rFonts w:ascii="Times New Roman" w:hAnsi="Times New Roman"/>
          <w:b/>
          <w:i w:val="0"/>
          <w:sz w:val="24"/>
        </w:rPr>
        <w:t>Figure 5</w:t>
      </w:r>
      <w:r>
        <w:rPr>
          <w:rFonts w:ascii="Times New Roman" w:hAnsi="Times New Roman"/>
          <w:b w:val="0"/>
          <w:i w:val="0"/>
          <w:sz w:val="24"/>
        </w:rPr>
        <w:t xml:space="preserve"> Sen's slope (mm yr⁻¹) for annual rainfall over the full period (1981–2100) by station and model under SSP2-4.5 (left) and SSP5-8.5 (right). Warm colours indicate increasing trends; cool colours indicate decreasing trends. ✦ marks significance at p&lt;0.05.</w:t>
      </w:r>
    </w:p>
    <w:p/>
    <w:p>
      <w:pPr>
        <w:jc w:val="center"/>
      </w:pPr>
      <w:r>
        <w:drawing>
          <wp:inline xmlns:a="http://schemas.openxmlformats.org/drawingml/2006/main" xmlns:pic="http://schemas.openxmlformats.org/drawingml/2006/picture">
            <wp:extent cx="5040000" cy="2299376"/>
            <wp:docPr id="6" name="Picture 6"/>
            <wp:cNvGraphicFramePr>
              <a:graphicFrameLocks noChangeAspect="1"/>
            </wp:cNvGraphicFramePr>
            <a:graphic>
              <a:graphicData uri="http://schemas.openxmlformats.org/drawingml/2006/picture">
                <pic:pic>
                  <pic:nvPicPr>
                    <pic:cNvPr id="0" name="Fig6_ITA.png"/>
                    <pic:cNvPicPr/>
                  </pic:nvPicPr>
                  <pic:blipFill>
                    <a:blip r:embed="rId14"/>
                    <a:stretch>
                      <a:fillRect/>
                    </a:stretch>
                  </pic:blipFill>
                  <pic:spPr>
                    <a:xfrm>
                      <a:off x="0" y="0"/>
                      <a:ext cx="5040000" cy="2299376"/>
                    </a:xfrm>
                    <a:prstGeom prst="rect"/>
                  </pic:spPr>
                </pic:pic>
              </a:graphicData>
            </a:graphic>
          </wp:inline>
        </w:drawing>
      </w:r>
    </w:p>
    <w:p>
      <w:pPr>
        <w:spacing w:after="80"/>
        <w:jc w:val="center"/>
      </w:pPr>
      <w:r>
        <w:rPr>
          <w:rFonts w:ascii="Times New Roman" w:hAnsi="Times New Roman"/>
          <w:b/>
          <w:i w:val="0"/>
          <w:sz w:val="24"/>
        </w:rPr>
        <w:t>Figure 6</w:t>
      </w:r>
      <w:r>
        <w:rPr>
          <w:rFonts w:ascii="Times New Roman" w:hAnsi="Times New Roman"/>
          <w:b w:val="0"/>
          <w:i w:val="0"/>
          <w:sz w:val="24"/>
        </w:rPr>
        <w:t xml:space="preserve"> Innovative Trend Analysis (ITA) scatter plots for regional mean (a) annual, (b) wet-season and (c) dry-season rainfall. Points above the 1:1 dashed line indicate an increasing trend; points below indicate a decreasing trend.</w:t>
      </w:r>
    </w:p>
    <w:p/>
    <w:p>
      <w:pPr>
        <w:jc w:val="center"/>
      </w:pPr>
      <w:r>
        <w:drawing>
          <wp:inline xmlns:a="http://schemas.openxmlformats.org/drawingml/2006/main" xmlns:pic="http://schemas.openxmlformats.org/drawingml/2006/picture">
            <wp:extent cx="4680000" cy="5523243"/>
            <wp:docPr id="7" name="Picture 7"/>
            <wp:cNvGraphicFramePr>
              <a:graphicFrameLocks noChangeAspect="1"/>
            </wp:cNvGraphicFramePr>
            <a:graphic>
              <a:graphicData uri="http://schemas.openxmlformats.org/drawingml/2006/picture">
                <pic:pic>
                  <pic:nvPicPr>
                    <pic:cNvPr id="0" name="Fig7_Future_Projection.png"/>
                    <pic:cNvPicPr/>
                  </pic:nvPicPr>
                  <pic:blipFill>
                    <a:blip r:embed="rId15"/>
                    <a:stretch>
                      <a:fillRect/>
                    </a:stretch>
                  </pic:blipFill>
                  <pic:spPr>
                    <a:xfrm>
                      <a:off x="0" y="0"/>
                      <a:ext cx="4680000" cy="5523243"/>
                    </a:xfrm>
                    <a:prstGeom prst="rect"/>
                  </pic:spPr>
                </pic:pic>
              </a:graphicData>
            </a:graphic>
          </wp:inline>
        </w:drawing>
      </w:r>
    </w:p>
    <w:p>
      <w:pPr>
        <w:spacing w:after="80"/>
        <w:jc w:val="center"/>
      </w:pPr>
      <w:r>
        <w:rPr>
          <w:rFonts w:ascii="Times New Roman" w:hAnsi="Times New Roman"/>
          <w:b/>
          <w:i w:val="0"/>
          <w:sz w:val="24"/>
        </w:rPr>
        <w:t>Figure 7</w:t>
      </w:r>
      <w:r>
        <w:rPr>
          <w:rFonts w:ascii="Times New Roman" w:hAnsi="Times New Roman"/>
          <w:b w:val="0"/>
          <w:i w:val="0"/>
          <w:sz w:val="24"/>
        </w:rPr>
        <w:t xml:space="preserve"> CMIP6 projected annual (a), wet-season (b) and dry-season (c) rainfall for Nan Province under SSP2-4.5 and SSP5-8.5. Thick lines: 21-yr smoothed MME median. Inner shading: IQR (25–75%); outer shading: full model range. Dashed vertical line marks 2015.</w:t>
      </w:r>
    </w:p>
    <w:p/>
    <w:p>
      <w:pPr>
        <w:jc w:val="center"/>
      </w:pPr>
      <w:r>
        <w:drawing>
          <wp:inline xmlns:a="http://schemas.openxmlformats.org/drawingml/2006/main" xmlns:pic="http://schemas.openxmlformats.org/drawingml/2006/picture">
            <wp:extent cx="4680000" cy="5198919"/>
            <wp:docPr id="8" name="Picture 8"/>
            <wp:cNvGraphicFramePr>
              <a:graphicFrameLocks noChangeAspect="1"/>
            </wp:cNvGraphicFramePr>
            <a:graphic>
              <a:graphicData uri="http://schemas.openxmlformats.org/drawingml/2006/picture">
                <pic:pic>
                  <pic:nvPicPr>
                    <pic:cNvPr id="0" name="Fig8_Model_Spread.png"/>
                    <pic:cNvPicPr/>
                  </pic:nvPicPr>
                  <pic:blipFill>
                    <a:blip r:embed="rId16"/>
                    <a:stretch>
                      <a:fillRect/>
                    </a:stretch>
                  </pic:blipFill>
                  <pic:spPr>
                    <a:xfrm>
                      <a:off x="0" y="0"/>
                      <a:ext cx="4680000" cy="5198919"/>
                    </a:xfrm>
                    <a:prstGeom prst="rect"/>
                  </pic:spPr>
                </pic:pic>
              </a:graphicData>
            </a:graphic>
          </wp:inline>
        </w:drawing>
      </w:r>
    </w:p>
    <w:p>
      <w:pPr>
        <w:spacing w:after="80"/>
        <w:jc w:val="center"/>
      </w:pPr>
      <w:r>
        <w:rPr>
          <w:rFonts w:ascii="Times New Roman" w:hAnsi="Times New Roman"/>
          <w:b/>
          <w:i w:val="0"/>
          <w:sz w:val="24"/>
        </w:rPr>
        <w:t>Figure 8</w:t>
      </w:r>
      <w:r>
        <w:rPr>
          <w:rFonts w:ascii="Times New Roman" w:hAnsi="Times New Roman"/>
          <w:b w:val="0"/>
          <w:i w:val="0"/>
          <w:sz w:val="24"/>
        </w:rPr>
        <w:t xml:space="preserve"> Inter-model spread (Sen's slope, mm yr⁻¹) for annual and seasonal rainfall across four analysis periods. Boxes show the IQR across 7 models; dots show individual model values. Dashed horizontal line marks zero slope.</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