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ordia New" w:cs="Cordia New" w:eastAsia="Cordia New" w:hAnsi="Cordia New"/>
          <w:b/>
          <w:bCs/>
          <w:i w:val="false"/>
          <w:iCs w:val="false"/>
          <w:sz w:val="36"/>
          <w:szCs w:val="36"/>
        </w:rPr>
        <w:t xml:space="preserve">ข้อเสนอแก้ไขต้นฉบับ AJSTR</w:t>
      </w:r>
    </w:p>
    <w:p>
      <w:pPr>
        <w:spacing w:after="200"/>
        <w:jc w:val="center"/>
      </w:pPr>
      <w:r>
        <w:rPr>
          <w:rFonts w:ascii="Cordia New" w:cs="Cordia New" w:eastAsia="Cordia New" w:hAnsi="Cordia New"/>
          <w:b w:val="false"/>
          <w:bCs w:val="false"/>
          <w:i/>
          <w:iCs/>
          <w:sz w:val="24"/>
          <w:szCs w:val="24"/>
        </w:rPr>
        <w:t xml:space="preserve">Parametric and Non-Parametric Quantile Delta Mapping for CMIP6 Daily Rainfall Bias Correction</w:t>
      </w:r>
    </w:p>
    <w:p>
      <w:pPr>
        <w:spacing w:after="90" w:before="250"/>
      </w:pPr>
      <w:r>
        <w:rPr>
          <w:rFonts w:ascii="Cordia New" w:cs="Cordia New" w:eastAsia="Cordia New" w:hAnsi="Cordia New"/>
          <w:b/>
          <w:bCs/>
          <w:i w:val="false"/>
          <w:iCs w:val="false"/>
          <w:sz w:val="32"/>
          <w:szCs w:val="32"/>
        </w:rPr>
        <w:t xml:space="preserve">1. ข้อค้นพบที่ต้องพิจารณาก่อนแก้ส่วนอื่น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ผมนำข้อมูลชุดเดียวกันมาคำนวณซ้ำอย่างเป็นอิสระ เพื่อตรวจสอบความสอดคล้องของตัวเลขในต้นฉบับ ผลปรากฏว่าตัวแปร non-parametric ทำซ้ำได้เกือบตรงทุกตัว แต่ตัวแปร parametric ทำซ้ำไม่ได้ และให้ข้อสรุปคนละทิศทาง</w:t>
      </w:r>
    </w:p>
    <w:p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8900"/>
        <w:tblBorders>
          <w:top w:val="single" w:sz="8"/>
          <w:left w:val="none"/>
          <w:bottom w:val="single" w:sz="8"/>
          <w:right w:val="none"/>
          <w:insideH w:val="single" w:color="D0D0D0" w:sz="2"/>
          <w:insideV w:val="single" w:color="D0D0D0" w:sz="2"/>
        </w:tblBorders>
      </w:tblPr>
      <w:tblGrid>
        <w:gridCol w:w="1500"/>
        <w:gridCol w:w="1500"/>
        <w:gridCol w:w="1500"/>
        <w:gridCol w:w="1400"/>
        <w:gridCol w:w="1400"/>
        <w:gridCol w:w="1600"/>
      </w:tblGrid>
      <w:tr>
        <w:trPr>
          <w:tblHeader/>
        </w:trPr>
        <w:tc>
          <w:tcPr>
            <w:tcW w:type="dxa" w:w="15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ตัวแปร</w:t>
            </w:r>
          </w:p>
        </w:tc>
        <w:tc>
          <w:tcPr>
            <w:tcW w:type="dxa" w:w="15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RMSE ในต้นฉบับ</w:t>
            </w:r>
          </w:p>
        </w:tc>
        <w:tc>
          <w:tcPr>
            <w:tcW w:type="dxa" w:w="15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RMSE คำนวณซ้ำ</w:t>
            </w:r>
          </w:p>
        </w:tc>
        <w:tc>
          <w:tcPr>
            <w:tcW w:type="dxa" w:w="14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KGE ในต้นฉบับ</w:t>
            </w:r>
          </w:p>
        </w:tc>
        <w:tc>
          <w:tcPr>
            <w:tcW w:type="dxa" w:w="14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KGE คำนวณซ้ำ</w:t>
            </w:r>
          </w:p>
        </w:tc>
        <w:tc>
          <w:tcPr>
            <w:tcW w:type="dxa" w:w="16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สถานะ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Raw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116.20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116.20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0.229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0.229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ตรงกันทุกตำแหน่ง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NP annual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124.75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124.35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0.203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0.206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ทำซ้ำได้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NP monthly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109.38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107.11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0.332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0.347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ทำซ้ำได้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annual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116.68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126.92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0.241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0.137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ทำซ้ำไม่ได้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monthly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118.68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103.10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0.257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0.354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ทำซ้ำไม่ได้</w:t>
            </w:r>
          </w:p>
        </w:tc>
      </w:tr>
    </w:tbl>
    <w:p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both"/>
      </w:pPr>
      <w:r>
        <w:rPr>
          <w:rFonts w:ascii="Cordia New" w:cs="Cordia New" w:eastAsia="Cordia New" w:hAnsi="Cordia New"/>
          <w:b/>
          <w:bCs/>
          <w:i w:val="false"/>
          <w:iCs w:val="false"/>
          <w:sz w:val="28"/>
          <w:szCs w:val="28"/>
        </w:rPr>
        <w:t xml:space="preserve">นัยสำคัญของความต่างนี้คือ ในการคำนวณซ้ำ P monthly กลายเป็นตัวแปรที่ให้ค่า RMSE ต่ำที่สุด ค่า KGE สูงที่สุด และค่า Kolmogorov-Smirnov D ต่ำที่สุด ขณะที่ต้นฉบับรายงานว่า P monthly อยู่ในกลุ่มที่ด้อยกว่า ข้อสรุปหลักของบทความที่ว่า empirical monthly ดีที่สุดโดยรวม และ parametric ต้องมี tail safeguard จึงขึ้นอยู่กับรายละเอียดการดำเนินการของส่วน parametric ที่ต้นฉบับยังไม่ได้อธิบายไว้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ผมไม่สามารถระบุได้ว่าการดำเนินการของฝ่ายใดถูกต้อง เพราะต้นฉบับไม่ได้ระบุวิธีประมาณค่าพารามิเตอร์ การจัดการค่าศูนย์ เงื่อนไขของตำแหน่งพารามิเตอร์ เกณฑ์เมื่อการปรับเส้นโค้งไม่ลู่เข้า และค่าเพดานของหางบน ซึ่งล้วนเปลี่ยนผลได้อย่างมีนัยสำคัญ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/>
          <w:bCs/>
          <w:i w:val="false"/>
          <w:iCs w:val="false"/>
          <w:sz w:val="28"/>
          <w:szCs w:val="28"/>
        </w:rPr>
        <w:t xml:space="preserve">ข้อเสนอ ให้ตรวจสอบส่วน parametric ของท่านเองก่อน โดยเทียบกับสคริปต์ที่แนบมาด้วย จากนั้นจึงตัดสินว่าตัวเลขชุดใดถูกต้อง การแก้ข้อความอื่นก่อนตรวจจุดนี้จะไม่มีประโยชน์ เพราะข้อสรุปของบทความอาจเปลี่ยน</w:t>
      </w:r>
    </w:p>
    <w:p>
      <w:pPr>
        <w:spacing w:after="90" w:before="250"/>
      </w:pPr>
      <w:r>
        <w:rPr>
          <w:rFonts w:ascii="Cordia New" w:cs="Cordia New" w:eastAsia="Cordia New" w:hAnsi="Cordia New"/>
          <w:b/>
          <w:bCs/>
          <w:i w:val="false"/>
          <w:iCs w:val="false"/>
          <w:sz w:val="32"/>
          <w:szCs w:val="32"/>
        </w:rPr>
        <w:t xml:space="preserve">2. ความไม่สอดคล้องเชิงเลขคณิตใน Table 4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ประเด็นนี้พิสูจน์ได้โดยไม่ต้องอาศัยข้อมูลต้นทาง และแก้ด้วยการเขียนข้อความใหม่ไม่ได้</w:t>
      </w:r>
    </w:p>
    <w:p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8300"/>
        <w:tblBorders>
          <w:top w:val="single" w:sz="8"/>
          <w:left w:val="none"/>
          <w:bottom w:val="single" w:sz="8"/>
          <w:right w:val="none"/>
          <w:insideH w:val="single" w:color="D0D0D0" w:sz="2"/>
          <w:insideV w:val="single" w:color="D0D0D0" w:sz="2"/>
        </w:tblBorders>
      </w:tblPr>
      <w:tblGrid>
        <w:gridCol w:w="2100"/>
        <w:gridCol w:w="2000"/>
        <w:gridCol w:w="2400"/>
        <w:gridCol w:w="1800"/>
      </w:tblGrid>
      <w:tr>
        <w:trPr>
          <w:tblHeader/>
        </w:trPr>
        <w:tc>
          <w:tcPr>
            <w:tcW w:type="dxa" w:w="21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แถวในตาราง</w:t>
            </w:r>
          </w:p>
        </w:tc>
        <w:tc>
          <w:tcPr>
            <w:tcW w:type="dxa" w:w="20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ผลรวมที่ได้</w:t>
            </w:r>
          </w:p>
        </w:tc>
        <w:tc>
          <w:tcPr>
            <w:tcW w:type="dxa" w:w="24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ตัวส่วนที่ควรเป็น</w:t>
            </w:r>
          </w:p>
        </w:tc>
        <w:tc>
          <w:tcPr>
            <w:tcW w:type="dxa" w:w="18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สถานะ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annual · observed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45 + 15 = 60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 สถานี × 5 แบบจำลอง = 60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ถูกต้อง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annual · model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57 + 2 + 1 = 60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ถูกต้อง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monthly · observed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300 + 265 + 50 = 615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 × 12 เดือน = 720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ขาด 105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monthly · model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460 + 93 + 34 = 587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720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ขาด 133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ข้อความในหัวข้อ 3.3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อ้างว่า 460 จาก 620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720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ขัดกับตารางและตัวส่วน</w:t>
            </w:r>
          </w:p>
        </w:tc>
      </w:tr>
    </w:tbl>
    <w:p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จึงมีตัวเลขที่ขัดกันสี่ค่า คือ 587, 615, 620 และ 720 reviewer ที่ตรวจการบวกจะพบทันที</w:t>
      </w:r>
    </w:p>
    <w:p>
      <w:pPr>
        <w:spacing w:after="60" w:before="170"/>
      </w:pPr>
      <w:r>
        <w:rPr>
          <w:rFonts w:ascii="Cordia New" w:cs="Cordia New" w:eastAsia="Cordia New" w:hAnsi="Cordia New"/>
          <w:b/>
          <w:bCs/>
          <w:i w:val="false"/>
          <w:iCs w:val="false"/>
          <w:sz w:val="28"/>
          <w:szCs w:val="28"/>
        </w:rPr>
        <w:t xml:space="preserve">วิธีแก้ที่ถูกต้อง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บันทึกทุกบล็อกการปรับเส้นโค้งให้ครบ โดยบล็อกใดที่ปรับเส้นโค้งไม่สำเร็จต้องบันทึกเหตุผลไว้เป็นหมวดหนึ่งในตาราง มิใช่ปล่อยให้หายไป เมื่อทำเช่นนี้ผลรวมจะเท่ากับตัวส่วนโดยอัตโนมัติ ตัวอย่างจากการคำนวณซ้ำของผม</w:t>
      </w:r>
    </w:p>
    <w:p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8300"/>
        <w:tblBorders>
          <w:top w:val="single" w:sz="8"/>
          <w:left w:val="none"/>
          <w:bottom w:val="single" w:sz="8"/>
          <w:right w:val="none"/>
          <w:insideH w:val="single" w:color="D0D0D0" w:sz="2"/>
          <w:insideV w:val="single" w:color="D0D0D0" w:sz="2"/>
        </w:tblBorders>
      </w:tblPr>
      <w:tblGrid>
        <w:gridCol w:w="1300"/>
        <w:gridCol w:w="1300"/>
        <w:gridCol w:w="4400"/>
        <w:gridCol w:w="1300"/>
      </w:tblGrid>
      <w:tr>
        <w:trPr>
          <w:tblHeader/>
        </w:trPr>
        <w:tc>
          <w:tcPr>
            <w:tcW w:type="dxa" w:w="13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ตัวแปร</w:t>
            </w:r>
          </w:p>
        </w:tc>
        <w:tc>
          <w:tcPr>
            <w:tcW w:type="dxa" w:w="13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ฝั่ง</w:t>
            </w:r>
          </w:p>
        </w:tc>
        <w:tc>
          <w:tcPr>
            <w:tcW w:type="dxa" w:w="44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การแจกแจงที่เลือก</w:t>
            </w:r>
          </w:p>
        </w:tc>
        <w:tc>
          <w:tcPr>
            <w:tcW w:type="dxa" w:w="13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รวม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annual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Observed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Pearson III 55 · lognormal 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 / 60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Model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Pearson III 54 · GEV 4 · lognormal 2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 / 60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monthly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Observed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Pearson III 610 · GEV 5 · lognormal 5 · ไม่ได้ปรับเส้นโค้ง 100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720 / 720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Model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Pearson III 517 · GEV 74 · lognormal 22 · Weibull 4 · gamma 3 · ไม่ได้ปรับเส้นโค้ง 100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720 / 720</w:t>
            </w:r>
          </w:p>
        </w:tc>
      </w:tr>
    </w:tbl>
    <w:p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บล็อกที่ไม่ได้ปรับเส้นโค้งทั้ง 100 บล็อกมีเหตุผลเดียวกัน คือมีวันฝนตกน้อยกว่าเกณฑ์ขั้นต่ำ 30 วัน ซึ่งเกิดในเดือนแห้งของสถานีที่ความถี่วันฝนตกต่ำ ต้องระบุเกณฑ์นี้ใน Methods และระบุจำนวนไว้ในตาราง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/>
          <w:iCs/>
          <w:sz w:val="28"/>
          <w:szCs w:val="28"/>
        </w:rPr>
        <w:t xml:space="preserve">หมายเหตุ การแจกแจงที่ถูกเลือกในการคำนวณซ้ำของผมต่างจากที่ต้นฉบับรายงานอย่างมาก จึงย้อนกลับไปที่ประเด็นในข้อ 1 ว่าการดำเนินการของส่วน parametric ต้องได้รับการตรวจสอบก่อน</w:t>
      </w:r>
    </w:p>
    <w:p>
      <w:pPr>
        <w:spacing w:after="90" w:before="250"/>
      </w:pPr>
      <w:r>
        <w:rPr>
          <w:rFonts w:ascii="Cordia New" w:cs="Cordia New" w:eastAsia="Cordia New" w:hAnsi="Cordia New"/>
          <w:b/>
          <w:bCs/>
          <w:i w:val="false"/>
          <w:iCs w:val="false"/>
          <w:sz w:val="32"/>
          <w:szCs w:val="32"/>
        </w:rPr>
        <w:t xml:space="preserve">3. รายการแก้ไขที่ทำได้ทันที ไม่ขึ้นกับผล parametric</w:t>
      </w:r>
    </w:p>
    <w:p>
      <w:pPr>
        <w:spacing w:after="60" w:before="170"/>
      </w:pPr>
      <w:r>
        <w:rPr>
          <w:rFonts w:ascii="Cordia New" w:cs="Cordia New" w:eastAsia="Cordia New" w:hAnsi="Cordia New"/>
          <w:b/>
          <w:bCs/>
          <w:i w:val="false"/>
          <w:iCs w:val="false"/>
          <w:sz w:val="28"/>
          <w:szCs w:val="28"/>
        </w:rPr>
        <w:t xml:space="preserve">3.1 ข้อกำหนดของวารสาร</w:t>
      </w:r>
    </w:p>
    <w:tbl>
      <w:tblPr>
        <w:tblW w:type="dxa" w:w="8400"/>
        <w:tblBorders>
          <w:top w:val="single" w:sz="8"/>
          <w:left w:val="none"/>
          <w:bottom w:val="single" w:sz="8"/>
          <w:right w:val="none"/>
          <w:insideH w:val="single" w:color="D0D0D0" w:sz="2"/>
          <w:insideV w:val="single" w:color="D0D0D0" w:sz="2"/>
        </w:tblBorders>
      </w:tblPr>
      <w:tblGrid>
        <w:gridCol w:w="1500"/>
        <w:gridCol w:w="2200"/>
        <w:gridCol w:w="1700"/>
        <w:gridCol w:w="3000"/>
      </w:tblGrid>
      <w:tr>
        <w:trPr>
          <w:tblHeader/>
        </w:trPr>
        <w:tc>
          <w:tcPr>
            <w:tcW w:type="dxa" w:w="15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รายการ</w:t>
            </w:r>
          </w:p>
        </w:tc>
        <w:tc>
          <w:tcPr>
            <w:tcW w:type="dxa" w:w="22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สถานะปัจจุบัน</w:t>
            </w:r>
          </w:p>
        </w:tc>
        <w:tc>
          <w:tcPr>
            <w:tcW w:type="dxa" w:w="17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ข้อกำหนด AJSTR</w:t>
            </w:r>
          </w:p>
        </w:tc>
        <w:tc>
          <w:tcPr>
            <w:tcW w:type="dxa" w:w="30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การแก้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Keywords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 คำ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ถึง 5 คำ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เหลือ bias correction; quantile delta mapping; CMIP6; independent validation; Thailand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Abstract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205 คำ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ไม่เกิน 250 คำ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ผ่านแล้ว ไม่ต้องแก้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รายการอ้างอิง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22 รายการ · ไม่มี DOI · ปี 2020 ขึ้นไปเพียง 5 รายการ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รูปแบบ ACS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เพิ่ม DOI ทุกรายการ และเพิ่มวรรณกรรม 2020 ถึง 2025 อีก 8 ถึง 10 รายการ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สมการ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เขียนเป็นข้อความในย่อหน้า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ต้องใช้ Equation Editor หรือ MathType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แปลงสมการ QDM เป็นสมการมีหมายเลข</w:t>
            </w:r>
          </w:p>
        </w:tc>
      </w:tr>
    </w:tbl>
    <w:p>
      <w:pPr>
        <w:spacing w:after="60" w:before="170"/>
      </w:pPr>
      <w:r>
        <w:rPr>
          <w:rFonts w:ascii="Cordia New" w:cs="Cordia New" w:eastAsia="Cordia New" w:hAnsi="Cordia New"/>
          <w:b/>
          <w:bCs/>
          <w:i w:val="false"/>
          <w:iCs w:val="false"/>
          <w:sz w:val="28"/>
          <w:szCs w:val="28"/>
        </w:rPr>
        <w:t xml:space="preserve">3.2 Methods — รายละเอียดที่ขาดและทำให้ทำซ้ำไม่ได้</w:t>
      </w:r>
    </w:p>
    <w:tbl>
      <w:tblPr>
        <w:tblW w:type="dxa" w:w="8400"/>
        <w:tblBorders>
          <w:top w:val="single" w:sz="8"/>
          <w:left w:val="none"/>
          <w:bottom w:val="single" w:sz="8"/>
          <w:right w:val="none"/>
          <w:insideH w:val="single" w:color="D0D0D0" w:sz="2"/>
          <w:insideV w:val="single" w:color="D0D0D0" w:sz="2"/>
        </w:tblBorders>
      </w:tblPr>
      <w:tblGrid>
        <w:gridCol w:w="1700"/>
        <w:gridCol w:w="6700"/>
      </w:tblGrid>
      <w:tr>
        <w:trPr>
          <w:tblHeader/>
        </w:trPr>
        <w:tc>
          <w:tcPr>
            <w:tcW w:type="dxa" w:w="17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หัวข้อ</w:t>
            </w:r>
          </w:p>
        </w:tc>
        <w:tc>
          <w:tcPr>
            <w:tcW w:type="dxa" w:w="67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สิ่งที่ต้องเพิ่ม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2.1 ข้อมูล CMIP6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ตัวแปรที่ใช้ · การทดลอง historical · รหัสสมาชิกวงร่วม · ป้ายกำกับกริด · แหล่งดาวน์โหลดและวันที่เข้าถึง · วิธีดึงค่าจากกริดสู่สถานี ว่าเป็นจุดกริดที่ใกล้ที่สุดหรือการประมาณค่าเชิงพื้นที่ · การแปลงหน่วยจาก kg m⁻² s⁻¹ เป็น mm day⁻¹ · การจับคู่วันที่ของแบบจำลองปฏิทิน 365 วัน และการจัดการวันที่ 29 กุมภาพันธ์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2.1 ข้อมูลสถานี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หน่วยงานเจ้าของข้อมูล · รหัสชุดข้อมูล · เกณฑ์ข้อมูลขาดหาย · วิธีตรวจค่าผิดปกติ · วิธีตรวจจุดเปลี่ยน · ระบุว่ามีการปรับความเป็นเนื้อเดียวหรือไม่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2.2 สมการ QDM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เขียนเป็นสมการมีหมายเลข พร้อมนิยามสัญลักษณ์ทุกตัว และระบุว่าตำแหน่งควอนไทล์คำนวณจากการแจกแจงของแบบจำลองในช่วงเป้าหมาย ซึ่งใช้เฉพาะข้อมูลแบบจำลอง จึงไม่ละเมิดการกันข้อมูล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2.3 การปรับเส้นโค้ง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วิธีประมาณค่าพารามิเตอร์ · ปรับเส้นโค้งกับค่าวันฝนตกเท่านั้นหรือรวมค่าศูนย์ · การจัดการ zero inflation · สูตร AIC · เงื่อนไขของตำแหน่งพารามิเตอร์ · การตัดสินเมื่อค่า AIC เท่ากัน · ขั้นตอนเมื่อการปรับเส้นโค้งไม่ลู่เข้า · ซอฟต์แวร์และรุ่นที่ใช้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2.3 เพดานหางบน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ต้นฉบับระบุเพียงว่า numerically constrained แต่ไม่ให้ค่า ต้องระบุค่าเพดานเป็นตัวเลข วิธีคำนวณ และขอบเขตของอัตราส่วนเดลตา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2.4 การอนุมาน</w:t>
            </w: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Figure 1 กล่าวถึง year-block bootstrap แต่ Methods ไม่มีเลย ต้องเพิ่มหน่วยบล็อก จำนวนการสุ่มซ้ำ ระดับที่สุ่ม การจับคู่ระหว่าง raw กับ corrected ระดับความเชื่อมั่น สถิติที่นำมาสุ่มซ้ำ ลำดับของการรวมค่ากับการสุ่มซ้ำ และวิธีจัดการการพึ่งพากันระหว่างสถานีและแบบจำลอง</w:t>
            </w:r>
          </w:p>
        </w:tc>
      </w:tr>
    </w:tbl>
    <w:p>
      <w:pPr>
        <w:spacing w:after="60" w:before="170"/>
      </w:pPr>
      <w:r>
        <w:rPr>
          <w:rFonts w:ascii="Cordia New" w:cs="Cordia New" w:eastAsia="Cordia New" w:hAnsi="Cordia New"/>
          <w:b/>
          <w:bCs/>
          <w:i w:val="false"/>
          <w:iCs w:val="false"/>
          <w:sz w:val="28"/>
          <w:szCs w:val="28"/>
        </w:rPr>
        <w:t xml:space="preserve">3.3 นิยามของคำว่า best overall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ต้นฉบับใช้คำว่า strongest overall validation performance โดยไม่ได้ประกาศเกณฑ์ไว้ล่วงหน้า ขณะที่มีตัวชี้วัดถึงสิบตัว reviewer จะถามว่าใครเป็นผู้กำหนดว่า overall คืออะไร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ทางแก้ ประกาศลำดับชั้นของตัวชี้วัดใน Methods ก่อนดูผล ตัวอย่างเช่น กำหนด monthly KGE เป็น primary endpoint เพราะรวมองค์ประกอบด้านสหสัมพันธ์ ความแปรปรวน และความลำเอียงไว้ในค่าเดียว แล้วกำหนด distributional fidelity อคติของควอนไทล์ที่ 99 และสหสัมพันธ์ของวัฏจักรฤดูกาล เป็น secondary endpoints จากนั้นนิยามคำว่า best overall ให้ผูกกับ primary endpoint เท่านั้น</w:t>
      </w:r>
    </w:p>
    <w:p>
      <w:pPr>
        <w:spacing w:after="60" w:before="170"/>
      </w:pPr>
      <w:r>
        <w:rPr>
          <w:rFonts w:ascii="Cordia New" w:cs="Cordia New" w:eastAsia="Cordia New" w:hAnsi="Cordia New"/>
          <w:b/>
          <w:bCs/>
          <w:i w:val="false"/>
          <w:iCs w:val="false"/>
          <w:sz w:val="28"/>
          <w:szCs w:val="28"/>
        </w:rPr>
        <w:t xml:space="preserve">3.4 ความไม่แน่นอนและความหลากหลายของ 60 คู่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Table 3 รายงานเพียงค่าเฉลี่ย ควรเพิ่มช่วงความเชื่อมั่นและผลการเปรียบเทียบแบบจับคู่ พร้อมระบุว่าคู่ทั้ง 60 ไม่เป็นอิสระต่อกัน เพราะสถานีจำนวนหนึ่งใช้กริดเซลล์เดียวกัน และแบบจำลองมีความสัมพันธ์เชิงโครงสร้าง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รูปแบบที่แนะนำสำหรับตารางเสริม แสดง Δ เทียบ Raw พร้อมช่วงความเชื่อมั่นร้อยละ 95 และจำนวนคู่ที่ดีขึ้นหรือด้อยลงอย่างมีนัยสำคัญ พร้อมระบุวิธีควบคุมอัตราการค้นพบเท็จ ตัวอย่างจากการคำนวณซ้ำ</w:t>
      </w:r>
    </w:p>
    <w:p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8600"/>
        <w:tblBorders>
          <w:top w:val="single" w:sz="8"/>
          <w:left w:val="none"/>
          <w:bottom w:val="single" w:sz="8"/>
          <w:right w:val="none"/>
          <w:insideH w:val="single" w:color="D0D0D0" w:sz="2"/>
          <w:insideV w:val="single" w:color="D0D0D0" w:sz="2"/>
        </w:tblBorders>
      </w:tblPr>
      <w:tblGrid>
        <w:gridCol w:w="1500"/>
        <w:gridCol w:w="1700"/>
        <w:gridCol w:w="1200"/>
        <w:gridCol w:w="1200"/>
        <w:gridCol w:w="1000"/>
        <w:gridCol w:w="1000"/>
        <w:gridCol w:w="1000"/>
      </w:tblGrid>
      <w:tr>
        <w:trPr>
          <w:tblHeader/>
        </w:trPr>
        <w:tc>
          <w:tcPr>
            <w:tcW w:type="dxa" w:w="15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ตัวแปร</w:t>
            </w:r>
          </w:p>
        </w:tc>
        <w:tc>
          <w:tcPr>
            <w:tcW w:type="dxa" w:w="17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Δ RMSE (มัธยฐาน)</w:t>
            </w:r>
          </w:p>
        </w:tc>
        <w:tc>
          <w:tcPr>
            <w:tcW w:type="dxa" w:w="12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ขอบล่าง</w:t>
            </w:r>
          </w:p>
        </w:tc>
        <w:tc>
          <w:tcPr>
            <w:tcW w:type="dxa" w:w="12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ขอบบน</w:t>
            </w:r>
          </w:p>
        </w:tc>
        <w:tc>
          <w:tcPr>
            <w:tcW w:type="dxa" w:w="10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ดีขึ้น</w:t>
            </w:r>
          </w:p>
        </w:tc>
        <w:tc>
          <w:tcPr>
            <w:tcW w:type="dxa" w:w="10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แย่ลง</w:t>
            </w:r>
          </w:p>
        </w:tc>
        <w:tc>
          <w:tcPr>
            <w:tcW w:type="dxa" w:w="10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ไม่ต่าง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NP annual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+8.56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+3.22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+16.31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17/60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31/60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12/60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NP monthly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-7.35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-25.44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+7.88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19/60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2/60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39/60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annual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+5.03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+0.91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+8.52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16/60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27/60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17/60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 monthly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-11.47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-27.82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-1.12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22/60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0/60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38/60</w:t>
            </w:r>
          </w:p>
        </w:tc>
      </w:tr>
    </w:tbl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/>
          <w:iCs/>
          <w:sz w:val="24"/>
          <w:szCs w:val="24"/>
        </w:rPr>
        <w:t xml:space="preserve">หมายเหตุ สองคอลัมน์ขอบเขตคือค่ามัธยฐานของขอบล่างและขอบบนจาก 60 คู่ มิใช่ช่วงความเชื่อมั่นของค่ามัธยฐาน ต้องเขียนกำกับไว้ให้ชัด และตัวเลขเหล่านี้มาจากการคำนวณซ้ำของผม จึงต้องรอการตรวจสอบตามข้อ 1 ก่อน</w:t>
      </w:r>
    </w:p>
    <w:p>
      <w:pPr>
        <w:spacing w:after="60" w:before="170"/>
      </w:pPr>
      <w:r>
        <w:rPr>
          <w:rFonts w:ascii="Cordia New" w:cs="Cordia New" w:eastAsia="Cordia New" w:hAnsi="Cordia New"/>
          <w:b/>
          <w:bCs/>
          <w:i w:val="false"/>
          <w:iCs w:val="false"/>
          <w:sz w:val="28"/>
          <w:szCs w:val="28"/>
        </w:rPr>
        <w:t xml:space="preserve">3.5 Discussion — เพิ่มคำอธิบายเชิงกลไก</w:t>
      </w:r>
    </w:p>
    <w:tbl>
      <w:tblPr>
        <w:tblW w:type="dxa" w:w="8400"/>
        <w:tblBorders>
          <w:top w:val="single" w:sz="8"/>
          <w:left w:val="none"/>
          <w:bottom w:val="single" w:sz="8"/>
          <w:right w:val="none"/>
          <w:insideH w:val="single" w:color="D0D0D0" w:sz="2"/>
          <w:insideV w:val="single" w:color="D0D0D0" w:sz="2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ผลที่พบ</w:t>
            </w:r>
          </w:p>
        </w:tc>
        <w:tc>
          <w:tcPr>
            <w:tcW w:type="dxa" w:w="6400"/>
            <w:shd w:fill="E9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/>
                <w:bCs/>
                <w:i w:val="false"/>
                <w:iCs w:val="false"/>
                <w:sz w:val="24"/>
                <w:szCs w:val="24"/>
              </w:rPr>
              <w:t xml:space="preserve">คำอธิบายที่ควรเพิ่ม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monthly ดีกว่าด้านวัฏจักรฤดูกาล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การแยกตามเดือนจัดการความหลากหลายตามฤดูกาลได้โดยตรง จึงลดความคลาดเคลื่อนขององค์ประกอบวัฏจักรฤดูกาล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 ดีกว่าด้านหางบน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การรวมทุกเดือนให้ขนาดตัวอย่างต่อบล็อกใหญ่กว่า ควอนไทล์เชิงประจักษ์ที่ปลายหางจึงมีความเสถียรกว่า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ข้อแลกเปลี่ยนของขนาดตัวอย่าง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การแยกรายเดือนลดขนาดตัวอย่างต่อบล็อกลงเหลือประมาณหนึ่งในสิบสอง ซึ่งเพิ่มความไม่เสถียรของการปรับเส้นโค้ง โดยเฉพาะที่ปลายหาง ควรอภิปรายข้อแลกเปลี่ยนนี้โดยตรง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สหสัมพันธ์เชิงเวลาไม่ดีขึ้น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ยกระดับเป็นข้อความเชิงแนวคิดหลักของบทความ ว่าการปรับแก้อคติแก้คุณสมบัติของการแจกแจงขอบ แต่ไม่ได้ทำให้เหตุการณ์ฝนรายวันตรงกับที่สังเกตได้ เพื่อป้องกันการตีความว่าสหสัมพันธ์ต่ำคือความล้มเหลวของ QDM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เหตุผลของการใช้ QDM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ordia New" w:cs="Cordia New" w:eastAsia="Cordia New" w:hAnsi="Cordia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พิ่มการวิเคราะห์ว่าข้อมูลที่ปรับแก้แล้วรักษาสัดส่วนการเปลี่ยนแปลงของควอนไทล์จากแบบจำลองได้เพียงใด ที่ควอนไทล์ที่ 50 75 90 95 และ 99 ซึ่งเป็นเหตุผลตั้งต้นของวิธี QDM และปัจจุบันบทความยังไม่มีผลส่วนนี้</w:t>
            </w:r>
          </w:p>
        </w:tc>
      </w:tr>
    </w:tbl>
    <w:p>
      <w:pPr>
        <w:spacing w:after="90" w:before="250"/>
      </w:pPr>
      <w:r>
        <w:rPr>
          <w:rFonts w:ascii="Cordia New" w:cs="Cordia New" w:eastAsia="Cordia New" w:hAnsi="Cordia New"/>
          <w:b/>
          <w:bCs/>
          <w:i w:val="false"/>
          <w:iCs w:val="false"/>
          <w:sz w:val="32"/>
          <w:szCs w:val="32"/>
        </w:rPr>
        <w:t xml:space="preserve">4. ลำดับการทำงานที่แนะนำ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1. ตรวจสอบการดำเนินการของส่วน parametric เทียบกับสคริปต์ที่แนบ แล้วยืนยันว่าตัวเลขชุดใดถูกต้อง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2. แก้ Table 4 ให้ผลรวมเท่ากับตัวส่วน โดยบันทึกบล็อกที่ปรับเส้นโค้งไม่สำเร็จเป็นหมวดหนึ่ง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3. แก้ข้อความในหัวข้อ 3.3 ให้ตรงกับ Table 4 แล้วตรวจบทคัดย่ออีกครั้ง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4. เพิ่มค่าเพดานหางบนเป็นตัวเลขใน Methods 2.3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5. เพิ่มคำอธิบาย bootstrap ทั้งหมดใน Methods 2.4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6. ประกาศ primary endpoint และนิยามของคำว่า best overall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7. เพิ่มช่วงความเชื่อมั่นใน Table 3 และตารางเสริมราย 60 คู่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8. เพิ่มรายละเอียด CMIP6 และข้อมูลสถานีเพื่อการทำซ้ำ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9. แปลงสมการ QDM เป็นสมการมีหมายเลข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10. ลด keywords เหลือ 5 คำ และเพิ่ม DOI ในรายการอ้างอิงทุกรายการ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11. เพิ่มวรรณกรรม 2020 ถึง 2025 และเชื่อมกับ Discussion</w:t>
      </w:r>
    </w:p>
    <w:p>
      <w:pPr>
        <w:spacing w:after="90" w:before="250"/>
      </w:pPr>
      <w:r>
        <w:rPr>
          <w:rFonts w:ascii="Cordia New" w:cs="Cordia New" w:eastAsia="Cordia New" w:hAnsi="Cordia New"/>
          <w:b/>
          <w:bCs/>
          <w:i w:val="false"/>
          <w:iCs w:val="false"/>
          <w:sz w:val="32"/>
          <w:szCs w:val="32"/>
        </w:rPr>
        <w:t xml:space="preserve">5. สิ่งที่ควรรักษาไว้</w:t>
      </w:r>
    </w:p>
    <w:p>
      <w:pPr>
        <w:spacing w:after="60"/>
        <w:jc w:val="both"/>
      </w:pPr>
      <w:r>
        <w:rPr>
          <w:rFonts w:ascii="Cordia New" w:cs="Cordia New" w:eastAsia="Cordia New" w:hAnsi="Cordia New"/>
          <w:b w:val="false"/>
          <w:bCs w:val="false"/>
          <w:i w:val="false"/>
          <w:iCs w:val="false"/>
          <w:sz w:val="28"/>
          <w:szCs w:val="28"/>
        </w:rPr>
        <w:t xml:space="preserve">โครงการวิจัยไม่ควรรื้อ การแบ่งช่วงปรับเทียบ 1981 ถึง 2000 กับช่วงตรวจสอบ 2001 ถึง 2014 · ลำดับ ปรับเทียบ ตรึง ประยุกต์ ประเมิน · สถานี 12 แห่ง · แบบจำลอง 5 แบบ · ตัวแปร QDM สี่แบบ · การใช้ผลการจำลองดิบเป็นฐานเปรียบเทียบ · และการแยกความสมจริงเชิงการแจกแจงออกจากความสอดคล้องเชิงเวลา ซึ่งเป็นจุดแข็งเชิงแนวคิดของบทความ</w:t>
      </w:r>
    </w:p>
    <w:sectPr>
      <w:pgSz w:w="11905" w:h="16837" w:orient="portrait"/>
      <w:pgMar w:top="1133" w:right="1020" w:bottom="1133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dia New" w:cs="Cordia New" w:eastAsia="Cordia New" w:hAnsi="Cordia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ข้อเสนอแก้ไขต้นฉบับ AJSTR</dc:title>
  <dc:creator>Un-named</dc:creator>
  <cp:lastModifiedBy>Un-named</cp:lastModifiedBy>
  <cp:revision>1</cp:revision>
  <dcterms:created xsi:type="dcterms:W3CDTF">2026-08-27T20:03:21.311Z</dcterms:created>
  <dcterms:modified xsi:type="dcterms:W3CDTF">2026-08-27T20:03:21.323Z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